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2EBD" w14:textId="77777777" w:rsidR="00E34D52" w:rsidRDefault="00E34D52" w:rsidP="00AB3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14:paraId="02CCDB1F" w14:textId="7C1863AC" w:rsidR="00AB3B20" w:rsidRDefault="00AB3B20" w:rsidP="00AB3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 w:rsidRPr="009640AF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La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Commission des interventions de l'OFB du 18 novembre 2022 a validé les dotations Ecophyto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2023 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allouées en région aux différents dispositifs de la Surveillance Biologique du Territoire (SBT). Sur cette base, la Chambre Régionale d’Agriculture d’Occitanie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a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construi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t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les budgets prévisionnels 2023 pour les actions « Bulletin de Santé du Végétal » (BSV) et « Effets Non Intentionnels » (ENI).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Le 29 Novembre 2022,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la Chambre Régionale d’Agriculture et l’équipe Ecophyto du SRAL ont soumis cette proposition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de budget par mail aux partenaires des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deux 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dispositifs, qui participent au Groupe-Technique SBT du CROPSAV. Aucun partenaire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ne s’est opposé ou a demandé de modifications par rapport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à ces propositions. </w:t>
      </w:r>
    </w:p>
    <w:p w14:paraId="680BF6E6" w14:textId="2E0BC5A6" w:rsidR="00AB3B20" w:rsidRDefault="00AB3B20" w:rsidP="00AB3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</w:p>
    <w:p w14:paraId="14AA40F5" w14:textId="40B58EE9" w:rsidR="00AB3B20" w:rsidRDefault="00E34D52" w:rsidP="00AB3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Cette note explicative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revient sur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la construction des budgets prévisionnels 2023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BSV et ENI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, afin de soumettre ces budgets à validation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du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CROPSAV. Pour rappel, depuis 2022, cette validation est nécessaire</w:t>
      </w:r>
      <w:r w:rsidR="00AB3B20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afin de conventionner avec les partenaires BSV et ENI. </w:t>
      </w:r>
    </w:p>
    <w:p w14:paraId="220B3245" w14:textId="22945669" w:rsidR="00E34D52" w:rsidRDefault="00E34D52" w:rsidP="00AB3B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D52" w14:paraId="0F5363F8" w14:textId="77777777" w:rsidTr="00E34D52">
        <w:tc>
          <w:tcPr>
            <w:tcW w:w="9062" w:type="dxa"/>
          </w:tcPr>
          <w:p w14:paraId="716D75F6" w14:textId="23A1659D" w:rsidR="00E34D52" w:rsidRPr="00FC1BB3" w:rsidRDefault="00E34D52" w:rsidP="00E34D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6400C"/>
                <w:sz w:val="23"/>
                <w:szCs w:val="23"/>
                <w:bdr w:val="none" w:sz="0" w:space="0" w:color="auto" w:frame="1"/>
              </w:rPr>
            </w:pPr>
            <w:r w:rsidRPr="00FC1BB3">
              <w:rPr>
                <w:rFonts w:ascii="Calibri" w:hAnsi="Calibri" w:cs="Calibri"/>
                <w:b/>
                <w:bCs/>
                <w:color w:val="06400C"/>
                <w:sz w:val="23"/>
                <w:szCs w:val="23"/>
                <w:bdr w:val="none" w:sz="0" w:space="0" w:color="auto" w:frame="1"/>
              </w:rPr>
              <w:t xml:space="preserve">Budget prévisionnel 2023 des Bulletins de Santé du Végétal </w:t>
            </w:r>
          </w:p>
        </w:tc>
      </w:tr>
    </w:tbl>
    <w:p w14:paraId="4C63FF40" w14:textId="77777777" w:rsidR="00AB3B20" w:rsidRDefault="00AB3B20" w:rsidP="00AB3B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</w:p>
    <w:p w14:paraId="31D3A0D9" w14:textId="7D637A72" w:rsidR="00C14E13" w:rsidRPr="00E34D52" w:rsidRDefault="00E34D52" w:rsidP="00E34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En 2023, l</w:t>
      </w:r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es dotations Ecophyto nationales 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seront</w:t>
      </w:r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identiques à l’année 2022 : </w:t>
      </w:r>
      <w:r w:rsidR="00C14E13"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>6.5 Millions seront alloués aux BSV</w:t>
      </w:r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, dont 300k cofinanceront le projet d'harmonisation du Système d'Information des BSV. La répartition de cette dotation entre les régions a été revue par la </w:t>
      </w:r>
      <w:proofErr w:type="spellStart"/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DGAl</w:t>
      </w:r>
      <w:proofErr w:type="spellEnd"/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suite au chantier de priorisation des cultures vis-à-vis de l'enjeu </w:t>
      </w:r>
      <w:proofErr w:type="spellStart"/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Ecophtyo</w:t>
      </w:r>
      <w:proofErr w:type="spellEnd"/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, sur la base du travail engagé en régions en 2021.</w:t>
      </w:r>
    </w:p>
    <w:p w14:paraId="1ECE777B" w14:textId="77777777" w:rsidR="00C14E13" w:rsidRDefault="00C14E13" w:rsidP="00E34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 </w:t>
      </w:r>
    </w:p>
    <w:p w14:paraId="106726D3" w14:textId="14A913E2" w:rsidR="00C14E13" w:rsidRDefault="00C14E13" w:rsidP="00E34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Ainsi, les dotations Ecophyto pour le BSV Occitanie ont légèrement augmenté (</w:t>
      </w:r>
      <w:proofErr w:type="spellStart"/>
      <w:r w:rsidRPr="00E34D52">
        <w:rPr>
          <w:rFonts w:ascii="Calibri" w:hAnsi="Calibri" w:cs="Calibri"/>
          <w:i/>
          <w:iCs/>
          <w:color w:val="06400C"/>
          <w:sz w:val="23"/>
          <w:szCs w:val="23"/>
          <w:bdr w:val="none" w:sz="0" w:space="0" w:color="auto" w:frame="1"/>
        </w:rPr>
        <w:t>cf</w:t>
      </w:r>
      <w:proofErr w:type="spellEnd"/>
      <w:r w:rsidRPr="00E34D52">
        <w:rPr>
          <w:rFonts w:ascii="Calibri" w:hAnsi="Calibri" w:cs="Calibri"/>
          <w:i/>
          <w:iCs/>
          <w:color w:val="06400C"/>
          <w:sz w:val="23"/>
          <w:szCs w:val="23"/>
          <w:bdr w:val="none" w:sz="0" w:space="0" w:color="auto" w:frame="1"/>
        </w:rPr>
        <w:t xml:space="preserve"> </w:t>
      </w:r>
      <w:r w:rsidR="00E34D52" w:rsidRPr="00E34D52">
        <w:rPr>
          <w:rFonts w:ascii="Calibri" w:hAnsi="Calibri" w:cs="Calibri"/>
          <w:i/>
          <w:iCs/>
          <w:color w:val="06400C"/>
          <w:sz w:val="23"/>
          <w:szCs w:val="23"/>
          <w:bdr w:val="none" w:sz="0" w:space="0" w:color="auto" w:frame="1"/>
        </w:rPr>
        <w:t>figure 1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). Le dispositif sera doté de </w:t>
      </w:r>
      <w:r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>719 584 euros 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de crédits Ecophyto en 2023 (hors gestion des conventions). 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Cette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dotation était de 700 819 euros 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  <w:shd w:val="clear" w:color="auto" w:fill="FFFFFF"/>
        </w:rPr>
        <w:t>en 2022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, ce qui équivaut à une </w:t>
      </w:r>
      <w:r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>augmentation de 2.</w:t>
      </w:r>
      <w:r w:rsidR="009640AF"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>7</w:t>
      </w:r>
      <w:r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 xml:space="preserve"> %.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  </w:t>
      </w:r>
    </w:p>
    <w:p w14:paraId="0804740F" w14:textId="2DE51F51" w:rsidR="009640AF" w:rsidRDefault="009640AF" w:rsidP="00E34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</w:p>
    <w:p w14:paraId="535F1490" w14:textId="77777777" w:rsidR="009640AF" w:rsidRDefault="009640AF" w:rsidP="00E34D52">
      <w:pPr>
        <w:pStyle w:val="NormalWeb"/>
        <w:keepNext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6400C"/>
          <w:sz w:val="23"/>
          <w:szCs w:val="23"/>
          <w:bdr w:val="none" w:sz="0" w:space="0" w:color="auto" w:frame="1"/>
        </w:rPr>
        <w:drawing>
          <wp:inline distT="0" distB="0" distL="0" distR="0" wp14:anchorId="1229D93D" wp14:editId="1F8B5C6C">
            <wp:extent cx="2836765" cy="2202180"/>
            <wp:effectExtent l="0" t="0" r="190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62" cy="22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19042" w14:textId="7DF1567E" w:rsidR="00C14E13" w:rsidRDefault="009640AF" w:rsidP="00E34D52">
      <w:pPr>
        <w:pStyle w:val="Lgende"/>
        <w:jc w:val="center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t xml:space="preserve">Figure </w:t>
      </w:r>
      <w:r w:rsidR="00AC26D4">
        <w:fldChar w:fldCharType="begin"/>
      </w:r>
      <w:r w:rsidR="00AC26D4">
        <w:instrText xml:space="preserve"> SEQ Figure \* ARABIC </w:instrText>
      </w:r>
      <w:r w:rsidR="00AC26D4">
        <w:fldChar w:fldCharType="separate"/>
      </w:r>
      <w:r w:rsidR="00FC1BB3">
        <w:rPr>
          <w:noProof/>
        </w:rPr>
        <w:t>1</w:t>
      </w:r>
      <w:r w:rsidR="00AC26D4">
        <w:rPr>
          <w:noProof/>
        </w:rPr>
        <w:fldChar w:fldCharType="end"/>
      </w:r>
      <w:r>
        <w:t xml:space="preserve"> : Evolution des Subventions Ecophyto allouées aux Bulletins de Santé du Végétal en Occitanie</w:t>
      </w:r>
    </w:p>
    <w:p w14:paraId="17A99B99" w14:textId="7516F227" w:rsidR="00C14E13" w:rsidRDefault="00C14E13" w:rsidP="00E34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lastRenderedPageBreak/>
        <w:t>La proposition de budget prévisionnel 2023 est construite sur les mêmes bases que le budget prévisionnel 2022, avec</w:t>
      </w:r>
      <w:r w:rsidR="00E34D52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les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quelques modifications détaillées ci-dessous : </w:t>
      </w:r>
    </w:p>
    <w:p w14:paraId="24FD9D9B" w14:textId="4A35F324" w:rsidR="00C14E13" w:rsidRDefault="00C14E13" w:rsidP="00E34D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 w:rsidRPr="00C14E13">
        <w:rPr>
          <w:rFonts w:ascii="inherit" w:hAnsi="inherit" w:cs="Calibri"/>
          <w:color w:val="000000"/>
          <w:bdr w:val="none" w:sz="0" w:space="0" w:color="auto" w:frame="1"/>
        </w:rPr>
        <w:t>1</w:t>
      </w: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5j supplémentaires pour l'IFV afin qu'ils puissent travailler sur l'évolution des sources de données météo pour la modélisation BSV (+ 4 980 € en termes de dotations Ecophyto). En cas de succès de cette simulation sur la campagne 2023, cela pourrait générer une économie importante sur le budget affecté 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aux</w:t>
      </w: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BSV Vigne 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pour les campagnes suivantes </w:t>
      </w: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; </w:t>
      </w:r>
    </w:p>
    <w:p w14:paraId="6F82FDBA" w14:textId="77777777" w:rsidR="00C14E13" w:rsidRDefault="00C14E13" w:rsidP="00E34D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L’augmentation de crédits OFB alloués à l’observation sur le territoire LR (+ 4 071 €), car cette ligne budgétaire a régulièrement été amputée ces dernières années pour compenser les baisses des dotations ;</w:t>
      </w:r>
    </w:p>
    <w:p w14:paraId="7052DA47" w14:textId="77777777" w:rsidR="00C14E13" w:rsidRDefault="00C14E13" w:rsidP="00E34D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L’ajout d’une ligne de dépenses en matériel (+5 744 €) pour intégrer certains frais ponctuels (analyses, pièges...) liés aux spécificités de chaque campagne ; </w:t>
      </w:r>
    </w:p>
    <w:p w14:paraId="431C49F0" w14:textId="589DAE27" w:rsidR="00C14E13" w:rsidRPr="00FC1BB3" w:rsidRDefault="00C14E13" w:rsidP="00C14E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L'affectation des 3 870 € restant à l’augmentation du taux de financement de l'animation</w:t>
      </w:r>
      <w:r w:rsidR="00FC1BB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(83% en dans la proposition de budget prévisionnel 2023)</w:t>
      </w:r>
      <w:r w:rsidRP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.</w:t>
      </w:r>
    </w:p>
    <w:p w14:paraId="52F97D13" w14:textId="233EF6C9" w:rsidR="00E34D52" w:rsidRDefault="00FC1BB3" w:rsidP="00E34D52">
      <w:pPr>
        <w:pStyle w:val="NormalWeb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2946E2F" wp14:editId="54813E4F">
            <wp:extent cx="6311900" cy="2546391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08" cy="255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20191" w14:textId="4583B428" w:rsidR="00C14E13" w:rsidRDefault="00E34D52" w:rsidP="00E34D52">
      <w:pPr>
        <w:pStyle w:val="Lgende"/>
        <w:jc w:val="center"/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</w:pPr>
      <w:r>
        <w:t xml:space="preserve">Figure </w:t>
      </w:r>
      <w:r w:rsidR="00AC26D4">
        <w:fldChar w:fldCharType="begin"/>
      </w:r>
      <w:r w:rsidR="00AC26D4">
        <w:instrText xml:space="preserve"> SEQ Figure \* ARABIC </w:instrText>
      </w:r>
      <w:r w:rsidR="00AC26D4">
        <w:fldChar w:fldCharType="separate"/>
      </w:r>
      <w:r w:rsidR="00FC1BB3">
        <w:rPr>
          <w:noProof/>
        </w:rPr>
        <w:t>2</w:t>
      </w:r>
      <w:r w:rsidR="00AC26D4">
        <w:rPr>
          <w:noProof/>
        </w:rPr>
        <w:fldChar w:fldCharType="end"/>
      </w:r>
      <w:r>
        <w:t xml:space="preserve"> : Comparaison des budgets prévisionnels BSV 2022 et 2023</w:t>
      </w:r>
    </w:p>
    <w:p w14:paraId="4280C79D" w14:textId="77777777" w:rsidR="00E34D52" w:rsidRDefault="00E34D52" w:rsidP="00AB3B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6400C"/>
          <w:sz w:val="23"/>
          <w:szCs w:val="23"/>
          <w:u w:val="single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BB3" w14:paraId="71E9B6CF" w14:textId="77777777" w:rsidTr="00FC1BB3">
        <w:tc>
          <w:tcPr>
            <w:tcW w:w="9062" w:type="dxa"/>
          </w:tcPr>
          <w:p w14:paraId="237F9E54" w14:textId="33471A03" w:rsidR="00FC1BB3" w:rsidRPr="00FC1BB3" w:rsidRDefault="00FC1BB3" w:rsidP="00AB3B2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6400C"/>
                <w:sz w:val="23"/>
                <w:szCs w:val="23"/>
                <w:bdr w:val="none" w:sz="0" w:space="0" w:color="auto" w:frame="1"/>
              </w:rPr>
            </w:pPr>
            <w:r w:rsidRPr="00FC1BB3">
              <w:rPr>
                <w:rFonts w:ascii="Calibri" w:hAnsi="Calibri" w:cs="Calibri"/>
                <w:b/>
                <w:bCs/>
                <w:color w:val="06400C"/>
                <w:sz w:val="23"/>
                <w:szCs w:val="23"/>
                <w:bdr w:val="none" w:sz="0" w:space="0" w:color="auto" w:frame="1"/>
              </w:rPr>
              <w:t>Budget prévisionnel 2023 des Effets Non Intentionnels</w:t>
            </w:r>
          </w:p>
        </w:tc>
      </w:tr>
    </w:tbl>
    <w:p w14:paraId="4A0D88E2" w14:textId="77777777" w:rsidR="00FC1BB3" w:rsidRDefault="00FC1BB3" w:rsidP="00AB3B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6400C"/>
          <w:sz w:val="23"/>
          <w:szCs w:val="23"/>
          <w:u w:val="single"/>
          <w:bdr w:val="none" w:sz="0" w:space="0" w:color="auto" w:frame="1"/>
        </w:rPr>
      </w:pPr>
    </w:p>
    <w:p w14:paraId="6AD18CD3" w14:textId="342EF39F" w:rsidR="00AB3B20" w:rsidRPr="00FC1BB3" w:rsidRDefault="00AB3B20" w:rsidP="00C14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Les dotations Ecophyto nationales </w:t>
      </w:r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de 2023 sont identiques à l’année 2022 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: </w:t>
      </w:r>
      <w:r>
        <w:rPr>
          <w:rFonts w:ascii="Calibri" w:hAnsi="Calibri" w:cs="Calibri"/>
          <w:b/>
          <w:bCs/>
          <w:color w:val="06400C"/>
          <w:sz w:val="23"/>
          <w:szCs w:val="23"/>
          <w:bdr w:val="none" w:sz="0" w:space="0" w:color="auto" w:frame="1"/>
        </w:rPr>
        <w:t>940k seront alloués aux ENI pour l'ensemble des régions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. Pour l'Occitanie, la subvention Ecophyto allouée aux EN</w:t>
      </w:r>
      <w:r w:rsidR="00C14E13"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>I</w:t>
      </w: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t xml:space="preserve"> sera</w:t>
      </w:r>
      <w:r>
        <w:rPr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 de </w:t>
      </w:r>
      <w:r>
        <w:rPr>
          <w:rFonts w:ascii="Calibri" w:hAnsi="Calibri" w:cs="Calibri"/>
          <w:b/>
          <w:bCs/>
          <w:color w:val="242424"/>
          <w:sz w:val="23"/>
          <w:szCs w:val="23"/>
          <w:bdr w:val="none" w:sz="0" w:space="0" w:color="auto" w:frame="1"/>
        </w:rPr>
        <w:t>106 525 euros pour 2023</w:t>
      </w:r>
      <w:r>
        <w:rPr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 (contre 106 066 euros 2022). </w:t>
      </w:r>
      <w:r w:rsidR="00C14E13">
        <w:rPr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Afin de</w:t>
      </w:r>
      <w:r>
        <w:rPr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 xml:space="preserve"> poursuivre les actions engagées dans les volets "Biovigilance" et "Résistance" comme sur les précédentes campagnes, </w:t>
      </w:r>
      <w:r w:rsidR="00C14E13">
        <w:rPr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 xml:space="preserve">la proposition de budget prévisionnel 2023 reprend le budget prévisionnel 2022. </w:t>
      </w:r>
    </w:p>
    <w:p w14:paraId="675FD643" w14:textId="77777777" w:rsidR="00FC1BB3" w:rsidRDefault="00FC1BB3" w:rsidP="00C14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3"/>
          <w:szCs w:val="23"/>
        </w:rPr>
      </w:pPr>
    </w:p>
    <w:p w14:paraId="003AAACA" w14:textId="77777777" w:rsidR="00FC1BB3" w:rsidRDefault="00FC1BB3" w:rsidP="00FC1BB3">
      <w:pPr>
        <w:pStyle w:val="NormalWeb"/>
        <w:keepNext/>
        <w:shd w:val="clear" w:color="auto" w:fill="FFFFFF"/>
        <w:spacing w:before="0" w:beforeAutospacing="0" w:after="0" w:afterAutospacing="0"/>
        <w:jc w:val="center"/>
      </w:pPr>
      <w:r w:rsidRPr="00FC1BB3">
        <w:rPr>
          <w:noProof/>
        </w:rPr>
        <w:drawing>
          <wp:inline distT="0" distB="0" distL="0" distR="0" wp14:anchorId="3B3133C0" wp14:editId="0BA53E85">
            <wp:extent cx="3480097" cy="19050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14" cy="19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5F2" w14:textId="68A3F5BB" w:rsidR="00FC1BB3" w:rsidRDefault="00FC1BB3" w:rsidP="00FC1BB3">
      <w:pPr>
        <w:pStyle w:val="Lgende"/>
        <w:jc w:val="center"/>
      </w:pPr>
      <w:r>
        <w:t xml:space="preserve">Figure </w:t>
      </w:r>
      <w:r w:rsidR="00AC26D4">
        <w:fldChar w:fldCharType="begin"/>
      </w:r>
      <w:r w:rsidR="00AC26D4">
        <w:instrText xml:space="preserve"> SEQ Figure \* ARABIC </w:instrText>
      </w:r>
      <w:r w:rsidR="00AC26D4">
        <w:fldChar w:fldCharType="separate"/>
      </w:r>
      <w:r>
        <w:rPr>
          <w:noProof/>
        </w:rPr>
        <w:t>3</w:t>
      </w:r>
      <w:r w:rsidR="00AC26D4">
        <w:rPr>
          <w:noProof/>
        </w:rPr>
        <w:fldChar w:fldCharType="end"/>
      </w:r>
      <w:r>
        <w:t xml:space="preserve"> : Synthèse du budget prévisionnel ENI 2023</w:t>
      </w:r>
    </w:p>
    <w:p w14:paraId="20A8B615" w14:textId="4A06C183" w:rsidR="00AB3B20" w:rsidRDefault="00AB3B20" w:rsidP="00C14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06400C"/>
          <w:sz w:val="23"/>
          <w:szCs w:val="23"/>
          <w:bdr w:val="none" w:sz="0" w:space="0" w:color="auto" w:frame="1"/>
        </w:rPr>
        <w:lastRenderedPageBreak/>
        <w:br/>
      </w:r>
    </w:p>
    <w:p w14:paraId="3897409A" w14:textId="77777777" w:rsidR="00AB3B20" w:rsidRDefault="00AB3B20"/>
    <w:sectPr w:rsidR="00AB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728"/>
    <w:multiLevelType w:val="multilevel"/>
    <w:tmpl w:val="7CE0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923DF"/>
    <w:multiLevelType w:val="hybridMultilevel"/>
    <w:tmpl w:val="910055A4"/>
    <w:lvl w:ilvl="0" w:tplc="28F49ABC"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1"/>
    <w:rsid w:val="00307A3E"/>
    <w:rsid w:val="00603E9E"/>
    <w:rsid w:val="00914471"/>
    <w:rsid w:val="009640AF"/>
    <w:rsid w:val="00AB3B20"/>
    <w:rsid w:val="00AC26D4"/>
    <w:rsid w:val="00C14E13"/>
    <w:rsid w:val="00E34D52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FBB9"/>
  <w15:chartTrackingRefBased/>
  <w15:docId w15:val="{7617CAB3-0773-4417-A034-5C845793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3B20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64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body">
    <w:name w:val="Text body"/>
    <w:basedOn w:val="Normal"/>
    <w:rsid w:val="009640A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kern w:val="3"/>
      <w:sz w:val="18"/>
      <w:szCs w:val="20"/>
      <w:lang w:eastAsia="zh-CN"/>
    </w:rPr>
  </w:style>
  <w:style w:type="paragraph" w:customStyle="1" w:styleId="logo">
    <w:name w:val="logo"/>
    <w:basedOn w:val="Normal"/>
    <w:rsid w:val="009640A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table" w:styleId="Grilledutableau">
    <w:name w:val="Table Grid"/>
    <w:basedOn w:val="TableauNormal"/>
    <w:uiPriority w:val="39"/>
    <w:rsid w:val="00E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OCCITANIE - Paquet4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LEGROUX</dc:creator>
  <cp:keywords/>
  <dc:description/>
  <cp:lastModifiedBy>BB</cp:lastModifiedBy>
  <cp:revision>3</cp:revision>
  <dcterms:created xsi:type="dcterms:W3CDTF">2022-12-19T10:22:00Z</dcterms:created>
  <dcterms:modified xsi:type="dcterms:W3CDTF">2023-01-12T10:58:00Z</dcterms:modified>
</cp:coreProperties>
</file>