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233B" w14:textId="77777777" w:rsidR="002D1A21" w:rsidRDefault="002D1A21" w:rsidP="002D1A21">
      <w:pPr>
        <w:pStyle w:val="NormalWeb"/>
        <w:spacing w:before="0" w:beforeAutospacing="0" w:after="0" w:line="240" w:lineRule="auto"/>
        <w:jc w:val="right"/>
        <w:rPr>
          <w:rFonts w:ascii="Arial" w:hAnsi="Arial" w:cs="Arial"/>
          <w:b/>
          <w:bCs/>
          <w:color w:val="000000"/>
          <w:sz w:val="28"/>
          <w:szCs w:val="28"/>
        </w:rPr>
      </w:pPr>
      <w:r w:rsidRPr="002D1A21">
        <w:rPr>
          <w:b/>
        </w:rPr>
        <w:drawing>
          <wp:anchor distT="0" distB="0" distL="114300" distR="114300" simplePos="0" relativeHeight="251658240" behindDoc="0" locked="0" layoutInCell="1" allowOverlap="1" wp14:anchorId="417E67B0" wp14:editId="2D8FA088">
            <wp:simplePos x="0" y="0"/>
            <wp:positionH relativeFrom="column">
              <wp:posOffset>105410</wp:posOffset>
            </wp:positionH>
            <wp:positionV relativeFrom="paragraph">
              <wp:posOffset>0</wp:posOffset>
            </wp:positionV>
            <wp:extent cx="1981200" cy="1825531"/>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825531"/>
                    </a:xfrm>
                    <a:prstGeom prst="rect">
                      <a:avLst/>
                    </a:prstGeom>
                  </pic:spPr>
                </pic:pic>
              </a:graphicData>
            </a:graphic>
          </wp:anchor>
        </w:drawing>
      </w:r>
      <w:r w:rsidRPr="002D1A21">
        <w:rPr>
          <w:rFonts w:ascii="Arial" w:hAnsi="Arial" w:cs="Arial"/>
          <w:b/>
          <w:bCs/>
          <w:color w:val="000000"/>
          <w:sz w:val="28"/>
          <w:szCs w:val="28"/>
        </w:rPr>
        <w:t xml:space="preserve"> </w:t>
      </w:r>
      <w:r>
        <w:rPr>
          <w:rFonts w:ascii="Arial" w:hAnsi="Arial" w:cs="Arial"/>
          <w:b/>
          <w:bCs/>
          <w:color w:val="000000"/>
          <w:sz w:val="28"/>
          <w:szCs w:val="28"/>
        </w:rPr>
        <w:t>Direction régionale de l’alimentation,</w:t>
      </w:r>
    </w:p>
    <w:p w14:paraId="5CEF9AEF" w14:textId="404A3244" w:rsidR="002D1A21" w:rsidRDefault="002D1A21" w:rsidP="002D1A21">
      <w:pPr>
        <w:pStyle w:val="NormalWeb"/>
        <w:spacing w:before="0" w:beforeAutospacing="0" w:after="0" w:line="240" w:lineRule="auto"/>
        <w:jc w:val="right"/>
      </w:pPr>
      <w:r>
        <w:rPr>
          <w:rFonts w:ascii="Arial" w:hAnsi="Arial" w:cs="Arial"/>
          <w:b/>
          <w:bCs/>
          <w:color w:val="000000"/>
          <w:sz w:val="28"/>
          <w:szCs w:val="28"/>
        </w:rPr>
        <w:t>de l’agriculture et de la forêt</w:t>
      </w:r>
    </w:p>
    <w:p w14:paraId="6F17B1A4" w14:textId="77777777" w:rsidR="002D1A21" w:rsidRDefault="002D1A21" w:rsidP="002D1A21">
      <w:pPr>
        <w:pStyle w:val="NormalWeb"/>
        <w:spacing w:after="0" w:line="240" w:lineRule="auto"/>
        <w:jc w:val="right"/>
      </w:pPr>
    </w:p>
    <w:p w14:paraId="7B06D337" w14:textId="77777777" w:rsidR="002D1A21" w:rsidRDefault="002D1A21" w:rsidP="002D1A21">
      <w:pPr>
        <w:pStyle w:val="NormalWeb"/>
        <w:spacing w:after="0" w:line="240" w:lineRule="auto"/>
        <w:jc w:val="right"/>
      </w:pPr>
      <w:r>
        <w:rPr>
          <w:rFonts w:ascii="Arial" w:hAnsi="Arial" w:cs="Arial"/>
          <w:b/>
          <w:bCs/>
          <w:color w:val="000000"/>
          <w:sz w:val="26"/>
          <w:szCs w:val="26"/>
        </w:rPr>
        <w:t>- Service régional de l'alimentation</w:t>
      </w:r>
    </w:p>
    <w:p w14:paraId="3F776A8F" w14:textId="3C80DEF0" w:rsidR="00EE7270" w:rsidRDefault="00EE7270" w:rsidP="002D1A21">
      <w:pPr>
        <w:pStyle w:val="En-tte"/>
        <w:tabs>
          <w:tab w:val="left" w:pos="708"/>
        </w:tabs>
        <w:spacing w:after="60"/>
        <w:rPr>
          <w:rFonts w:ascii="Times New Roman" w:hAnsi="Times New Roman" w:cs="Times New Roman"/>
          <w:kern w:val="1"/>
          <w:lang w:eastAsia="hi-IN"/>
        </w:rPr>
      </w:pPr>
    </w:p>
    <w:p w14:paraId="6E6C638D" w14:textId="77777777" w:rsidR="00EE7270" w:rsidRDefault="00EE7270" w:rsidP="00EE7270">
      <w:pPr>
        <w:pStyle w:val="PS"/>
        <w:spacing w:after="60" w:line="240" w:lineRule="auto"/>
        <w:jc w:val="center"/>
        <w:rPr>
          <w:rFonts w:ascii="Times New Roman" w:hAnsi="Times New Roman"/>
          <w:b/>
          <w:sz w:val="16"/>
        </w:rPr>
      </w:pPr>
    </w:p>
    <w:p w14:paraId="4F341C8C" w14:textId="77777777" w:rsidR="00EE7270" w:rsidRDefault="00EE7270" w:rsidP="00EE7270">
      <w:pPr>
        <w:pStyle w:val="PS"/>
        <w:spacing w:after="60" w:line="240" w:lineRule="auto"/>
        <w:jc w:val="center"/>
        <w:rPr>
          <w:rFonts w:ascii="Times New Roman" w:hAnsi="Times New Roman"/>
          <w:b/>
          <w:sz w:val="16"/>
        </w:rPr>
      </w:pPr>
    </w:p>
    <w:p w14:paraId="1D37F84F" w14:textId="1D2FA93D" w:rsidR="00EE7270" w:rsidRDefault="00EE7270" w:rsidP="00EE7270">
      <w:pPr>
        <w:pStyle w:val="PS"/>
        <w:spacing w:after="60" w:line="240" w:lineRule="auto"/>
        <w:jc w:val="center"/>
        <w:rPr>
          <w:rFonts w:ascii="Times New Roman" w:hAnsi="Times New Roman"/>
          <w:b/>
          <w:sz w:val="16"/>
        </w:rPr>
      </w:pPr>
    </w:p>
    <w:p w14:paraId="487C598F" w14:textId="77777777" w:rsidR="002D1A21" w:rsidRDefault="002D1A21" w:rsidP="00EE7270">
      <w:pPr>
        <w:pStyle w:val="PS"/>
        <w:spacing w:after="60" w:line="240" w:lineRule="auto"/>
        <w:jc w:val="center"/>
        <w:rPr>
          <w:rFonts w:ascii="Times New Roman" w:hAnsi="Times New Roman"/>
          <w:b/>
          <w:sz w:val="16"/>
        </w:rPr>
      </w:pPr>
    </w:p>
    <w:p w14:paraId="073DB330" w14:textId="69DDF187" w:rsidR="00EE7270" w:rsidRPr="002D1A21" w:rsidRDefault="00EE7270" w:rsidP="00EE7270">
      <w:pPr>
        <w:pStyle w:val="PS"/>
        <w:spacing w:line="240" w:lineRule="auto"/>
        <w:ind w:left="284" w:right="281"/>
        <w:jc w:val="center"/>
        <w:rPr>
          <w:rFonts w:ascii="Arial" w:hAnsi="Arial" w:cs="Arial"/>
          <w:b/>
          <w:sz w:val="24"/>
        </w:rPr>
      </w:pPr>
      <w:bookmarkStart w:id="0" w:name="OLE_LINK8"/>
      <w:bookmarkStart w:id="1" w:name="OLE_LINK5"/>
      <w:bookmarkStart w:id="2" w:name="OLE_LINK9"/>
      <w:bookmarkStart w:id="3" w:name="OLE_LINK1"/>
      <w:r w:rsidRPr="002D1A21">
        <w:rPr>
          <w:rFonts w:ascii="Arial" w:hAnsi="Arial" w:cs="Arial"/>
          <w:b/>
          <w:sz w:val="24"/>
        </w:rPr>
        <w:t xml:space="preserve">Arrêté </w:t>
      </w:r>
      <w:bookmarkStart w:id="4" w:name="OLE_LINK3"/>
      <w:bookmarkEnd w:id="0"/>
      <w:bookmarkEnd w:id="1"/>
      <w:r w:rsidRPr="002D1A21">
        <w:rPr>
          <w:rFonts w:ascii="Arial" w:hAnsi="Arial" w:cs="Arial"/>
          <w:b/>
          <w:sz w:val="24"/>
        </w:rPr>
        <w:t>préfectoral organisant au niveau régional la lutte contre la maladie de la flavescence dorée de la vigne</w:t>
      </w:r>
    </w:p>
    <w:p w14:paraId="0287A974" w14:textId="0FB88856" w:rsidR="002D1A21" w:rsidRPr="002D1A21" w:rsidRDefault="002D1A21" w:rsidP="00EE7270">
      <w:pPr>
        <w:pStyle w:val="PS"/>
        <w:spacing w:line="240" w:lineRule="auto"/>
        <w:ind w:left="284" w:right="281"/>
        <w:jc w:val="center"/>
        <w:rPr>
          <w:rFonts w:ascii="Arial" w:hAnsi="Arial" w:cs="Arial"/>
          <w:b/>
          <w:sz w:val="24"/>
        </w:rPr>
      </w:pPr>
    </w:p>
    <w:p w14:paraId="6B6B0C11" w14:textId="51BAD0D6" w:rsidR="002D1A21" w:rsidRPr="002D1A21" w:rsidRDefault="002D1A21" w:rsidP="002D1A21">
      <w:pPr>
        <w:pStyle w:val="PS"/>
        <w:ind w:left="284" w:right="281"/>
        <w:jc w:val="center"/>
        <w:rPr>
          <w:rFonts w:ascii="Arial" w:hAnsi="Arial" w:cs="Arial"/>
          <w:b/>
          <w:sz w:val="24"/>
        </w:rPr>
      </w:pPr>
      <w:r w:rsidRPr="002D1A21">
        <w:rPr>
          <w:rFonts w:ascii="Arial" w:hAnsi="Arial" w:cs="Arial"/>
          <w:b/>
          <w:sz w:val="24"/>
        </w:rPr>
        <w:t>Le préfet de la région Occitanie</w:t>
      </w:r>
      <w:r w:rsidRPr="002D1A21">
        <w:rPr>
          <w:rFonts w:ascii="Arial" w:hAnsi="Arial" w:cs="Arial"/>
          <w:b/>
          <w:sz w:val="24"/>
        </w:rPr>
        <w:t xml:space="preserve">, </w:t>
      </w:r>
      <w:r w:rsidRPr="002D1A21">
        <w:rPr>
          <w:rFonts w:ascii="Arial" w:hAnsi="Arial" w:cs="Arial"/>
          <w:b/>
          <w:sz w:val="24"/>
        </w:rPr>
        <w:t>Préfet de la Haute-Garonne</w:t>
      </w:r>
    </w:p>
    <w:p w14:paraId="04BAE05D" w14:textId="77777777" w:rsidR="002D1A21" w:rsidRPr="002D1A21" w:rsidRDefault="002D1A21" w:rsidP="002D1A21">
      <w:pPr>
        <w:pStyle w:val="PS"/>
        <w:ind w:left="284" w:right="281"/>
        <w:jc w:val="center"/>
        <w:rPr>
          <w:rFonts w:ascii="Arial" w:hAnsi="Arial" w:cs="Arial"/>
          <w:b/>
          <w:sz w:val="24"/>
        </w:rPr>
      </w:pPr>
      <w:r w:rsidRPr="002D1A21">
        <w:rPr>
          <w:rFonts w:ascii="Arial" w:hAnsi="Arial" w:cs="Arial"/>
          <w:b/>
          <w:sz w:val="24"/>
        </w:rPr>
        <w:t>Chevalier de la Légion d’honneur</w:t>
      </w:r>
    </w:p>
    <w:p w14:paraId="35530144" w14:textId="6E911FD7" w:rsidR="002D1A21" w:rsidRPr="002D1A21" w:rsidRDefault="002D1A21" w:rsidP="002D1A21">
      <w:pPr>
        <w:pStyle w:val="PS"/>
        <w:spacing w:line="240" w:lineRule="auto"/>
        <w:ind w:left="284" w:right="281"/>
        <w:jc w:val="center"/>
        <w:rPr>
          <w:rFonts w:ascii="Arial" w:hAnsi="Arial" w:cs="Arial"/>
          <w:b/>
          <w:sz w:val="24"/>
        </w:rPr>
      </w:pPr>
      <w:r w:rsidRPr="002D1A21">
        <w:rPr>
          <w:rFonts w:ascii="Arial" w:hAnsi="Arial" w:cs="Arial"/>
          <w:b/>
          <w:sz w:val="24"/>
        </w:rPr>
        <w:t xml:space="preserve">Commandeur </w:t>
      </w:r>
      <w:r w:rsidRPr="002D1A21">
        <w:rPr>
          <w:rFonts w:ascii="Arial" w:hAnsi="Arial" w:cs="Arial"/>
          <w:b/>
          <w:sz w:val="24"/>
        </w:rPr>
        <w:t>de l’ord</w:t>
      </w:r>
      <w:r w:rsidRPr="002D1A21">
        <w:rPr>
          <w:rFonts w:ascii="Arial" w:hAnsi="Arial" w:cs="Arial"/>
          <w:noProof/>
          <w:lang w:eastAsia="fr-FR"/>
        </w:rPr>
        <w:t xml:space="preserve"> </w:t>
      </w:r>
      <w:r w:rsidRPr="002D1A21">
        <w:rPr>
          <w:rFonts w:ascii="Arial" w:hAnsi="Arial" w:cs="Arial"/>
          <w:b/>
          <w:sz w:val="24"/>
        </w:rPr>
        <w:t>re national du Mérite</w:t>
      </w:r>
    </w:p>
    <w:bookmarkEnd w:id="2"/>
    <w:bookmarkEnd w:id="3"/>
    <w:bookmarkEnd w:id="4"/>
    <w:p w14:paraId="3563D1B4" w14:textId="77777777" w:rsidR="00EE7270" w:rsidRPr="002D1A21" w:rsidRDefault="00EE7270" w:rsidP="002D1A21">
      <w:pPr>
        <w:pStyle w:val="Acte"/>
        <w:tabs>
          <w:tab w:val="center" w:pos="5220"/>
        </w:tabs>
        <w:spacing w:before="0" w:after="0"/>
        <w:rPr>
          <w:b w:val="0"/>
          <w:color w:val="000000"/>
          <w:sz w:val="24"/>
        </w:rPr>
      </w:pPr>
    </w:p>
    <w:p w14:paraId="5170B3A4" w14:textId="77777777" w:rsidR="00EE7270" w:rsidRPr="002D1A21" w:rsidRDefault="00EE7270" w:rsidP="00EE7270">
      <w:pPr>
        <w:tabs>
          <w:tab w:val="center" w:pos="5220"/>
        </w:tabs>
        <w:rPr>
          <w:rFonts w:ascii="Arial" w:hAnsi="Arial" w:cs="Arial"/>
          <w:b/>
          <w:color w:val="000000"/>
        </w:rPr>
      </w:pPr>
    </w:p>
    <w:p w14:paraId="6BA87ED4"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Vu le règlement d’exécution (UE) 2019/2072 de la Commission du 28 novembre 2019 établissant des conditions uniformes pour la mise en œuvre du règlement (UE) 2016/2031 du Parlement européen et du Conseil, en ce qui concerne les mesures de protection contre les organismes nuisibles aux végétaux, abrogeant le règlement (CE) n°690/2008 de la Commission et modifiant le règlement d’exécution (UE) 2018/2019 de la Commission ;</w:t>
      </w:r>
    </w:p>
    <w:p w14:paraId="3A168C91" w14:textId="7D04E91E"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 xml:space="preserve">Vu le code rural et de la pêche maritime, notamment les articles L.201-4, </w:t>
      </w:r>
      <w:r w:rsidR="00A02569" w:rsidRPr="002D1A21">
        <w:rPr>
          <w:rFonts w:eastAsia="SimSun"/>
          <w:b w:val="0"/>
          <w:kern w:val="1"/>
          <w:sz w:val="24"/>
          <w:szCs w:val="24"/>
          <w:lang w:eastAsia="hi-IN" w:bidi="hi-IN"/>
        </w:rPr>
        <w:t xml:space="preserve">L.201-7, </w:t>
      </w:r>
      <w:r w:rsidRPr="002D1A21">
        <w:rPr>
          <w:rFonts w:eastAsia="SimSun"/>
          <w:b w:val="0"/>
          <w:kern w:val="1"/>
          <w:sz w:val="24"/>
          <w:szCs w:val="24"/>
          <w:lang w:eastAsia="hi-IN" w:bidi="hi-IN"/>
        </w:rPr>
        <w:t>L.201-8,</w:t>
      </w:r>
      <w:r w:rsidR="00A02569" w:rsidRPr="002D1A21">
        <w:rPr>
          <w:rFonts w:eastAsia="SimSun"/>
          <w:b w:val="0"/>
          <w:kern w:val="1"/>
          <w:sz w:val="24"/>
          <w:szCs w:val="24"/>
          <w:lang w:eastAsia="hi-IN" w:bidi="hi-IN"/>
        </w:rPr>
        <w:t xml:space="preserve"> L.201-13, L.201-14, L.251-1, L.251-3, L.251-6, L.251-7, L.251-9 à L.251-11, R.201-39-1 à R.201-42, R.250-2,</w:t>
      </w:r>
      <w:r w:rsidRPr="002D1A21">
        <w:rPr>
          <w:rFonts w:eastAsia="SimSun"/>
          <w:b w:val="0"/>
          <w:kern w:val="1"/>
          <w:sz w:val="24"/>
          <w:szCs w:val="24"/>
          <w:lang w:eastAsia="hi-IN" w:bidi="hi-IN"/>
        </w:rPr>
        <w:t xml:space="preserve"> D.251-2-5</w:t>
      </w:r>
      <w:r w:rsidR="00A02569" w:rsidRPr="002D1A21">
        <w:rPr>
          <w:rFonts w:eastAsia="SimSun"/>
          <w:b w:val="0"/>
          <w:kern w:val="1"/>
          <w:sz w:val="24"/>
          <w:szCs w:val="24"/>
          <w:lang w:eastAsia="hi-IN" w:bidi="hi-IN"/>
        </w:rPr>
        <w:t xml:space="preserve"> à R.251-2-7, R.251-3-2, R.251-16 et D.251-17</w:t>
      </w:r>
      <w:r w:rsidRPr="002D1A21">
        <w:rPr>
          <w:rFonts w:eastAsia="SimSun"/>
          <w:b w:val="0"/>
          <w:kern w:val="1"/>
          <w:sz w:val="24"/>
          <w:szCs w:val="24"/>
          <w:lang w:eastAsia="hi-IN" w:bidi="hi-IN"/>
        </w:rPr>
        <w:t>;</w:t>
      </w:r>
    </w:p>
    <w:p w14:paraId="0E1B72C4"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 xml:space="preserve">Vu l’arrêté ministériel modifié du 4 mai 2017 relatif à la mise sur le marché et à l’utilisation des produits visés à l’article L.253-1 du Code rural et de la Pêche Maritime. </w:t>
      </w:r>
    </w:p>
    <w:p w14:paraId="4E0E85BF"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Vu l’arrêté ministériel modifié du 17 juin 2020 relatif à la sélection, à la production, à la circulation et à la distribution des matériels de multiplication végétative de la vigne ;</w:t>
      </w:r>
    </w:p>
    <w:p w14:paraId="1E2DC13D"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Vu l’arrêté ministériel du 27 avril 2021 relatif à la lutte contre la flavescence dorée de la vigne et contre son agent vecteur (</w:t>
      </w:r>
      <w:r w:rsidRPr="002D1A21">
        <w:rPr>
          <w:rFonts w:eastAsia="SimSun"/>
          <w:b w:val="0"/>
          <w:i/>
          <w:kern w:val="1"/>
          <w:sz w:val="24"/>
          <w:szCs w:val="24"/>
          <w:lang w:eastAsia="hi-IN" w:bidi="hi-IN"/>
        </w:rPr>
        <w:t>Scaphoideus titanus</w:t>
      </w:r>
      <w:r w:rsidRPr="002D1A21">
        <w:rPr>
          <w:rFonts w:eastAsia="SimSun"/>
          <w:b w:val="0"/>
          <w:kern w:val="1"/>
          <w:sz w:val="24"/>
          <w:szCs w:val="24"/>
          <w:lang w:eastAsia="hi-IN" w:bidi="hi-IN"/>
        </w:rPr>
        <w:t>) ;</w:t>
      </w:r>
    </w:p>
    <w:p w14:paraId="28598389" w14:textId="0F18E01B"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 xml:space="preserve">Vu l’avis des membres du conseil régional d’orientation de la politique sanitaire animale et végétale (CROPSAV) Occitanie – section végétale </w:t>
      </w:r>
      <w:r w:rsidR="00403590" w:rsidRPr="002D1A21">
        <w:rPr>
          <w:rFonts w:eastAsia="SimSun"/>
          <w:b w:val="0"/>
          <w:kern w:val="1"/>
          <w:sz w:val="24"/>
          <w:szCs w:val="24"/>
          <w:lang w:eastAsia="hi-IN" w:bidi="hi-IN"/>
        </w:rPr>
        <w:t>–</w:t>
      </w:r>
      <w:r w:rsidRPr="002D1A21">
        <w:rPr>
          <w:rFonts w:eastAsia="SimSun"/>
          <w:b w:val="0"/>
          <w:kern w:val="1"/>
          <w:sz w:val="24"/>
          <w:szCs w:val="24"/>
          <w:lang w:eastAsia="hi-IN" w:bidi="hi-IN"/>
        </w:rPr>
        <w:t xml:space="preserve"> </w:t>
      </w:r>
      <w:r w:rsidR="00403590" w:rsidRPr="002D1A21">
        <w:rPr>
          <w:rFonts w:eastAsia="SimSun"/>
          <w:b w:val="0"/>
          <w:kern w:val="1"/>
          <w:sz w:val="24"/>
          <w:szCs w:val="24"/>
          <w:lang w:eastAsia="hi-IN" w:bidi="hi-IN"/>
        </w:rPr>
        <w:t xml:space="preserve">du </w:t>
      </w:r>
      <w:r w:rsidR="00403590" w:rsidRPr="002D1A21">
        <w:rPr>
          <w:rFonts w:eastAsia="SimSun"/>
          <w:b w:val="0"/>
          <w:kern w:val="1"/>
          <w:sz w:val="24"/>
          <w:szCs w:val="24"/>
          <w:highlight w:val="yellow"/>
          <w:lang w:eastAsia="hi-IN" w:bidi="hi-IN"/>
        </w:rPr>
        <w:t>6 juin</w:t>
      </w:r>
      <w:r w:rsidR="006F6700" w:rsidRPr="002D1A21">
        <w:rPr>
          <w:rFonts w:eastAsia="SimSun"/>
          <w:b w:val="0"/>
          <w:kern w:val="1"/>
          <w:sz w:val="24"/>
          <w:szCs w:val="24"/>
          <w:lang w:eastAsia="hi-IN" w:bidi="hi-IN"/>
        </w:rPr>
        <w:t xml:space="preserve"> 2023</w:t>
      </w:r>
      <w:r w:rsidRPr="002D1A21">
        <w:rPr>
          <w:rFonts w:eastAsia="SimSun"/>
          <w:b w:val="0"/>
          <w:kern w:val="1"/>
          <w:sz w:val="24"/>
          <w:szCs w:val="24"/>
          <w:lang w:eastAsia="hi-IN" w:bidi="hi-IN"/>
        </w:rPr>
        <w:t xml:space="preserve"> ;</w:t>
      </w:r>
    </w:p>
    <w:p w14:paraId="0D17E668"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Considérant que la flavescence dorée représente un réel danger pour les vignes de la région Occitanie ;</w:t>
      </w:r>
    </w:p>
    <w:p w14:paraId="68EEC9C5"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Sur proposition du directeur régional de l’alimentation, de l’agriculture et de la forêt ;</w:t>
      </w:r>
    </w:p>
    <w:p w14:paraId="2BBF67EE"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p>
    <w:p w14:paraId="6902D55F"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p>
    <w:p w14:paraId="2CC09B65" w14:textId="190C1AB3" w:rsidR="00EE7270" w:rsidRPr="002D1A21" w:rsidRDefault="00EE7270" w:rsidP="00EE7270">
      <w:pPr>
        <w:pStyle w:val="Titre1"/>
        <w:pBdr>
          <w:top w:val="none" w:sz="0" w:space="0" w:color="000000"/>
          <w:left w:val="none" w:sz="0" w:space="0" w:color="000000"/>
          <w:bottom w:val="none" w:sz="0" w:space="0" w:color="000000"/>
          <w:right w:val="none" w:sz="0" w:space="0" w:color="000000"/>
        </w:pBdr>
        <w:tabs>
          <w:tab w:val="left" w:pos="0"/>
        </w:tabs>
        <w:rPr>
          <w:rFonts w:ascii="Arial" w:hAnsi="Arial" w:cs="Arial"/>
          <w:sz w:val="24"/>
          <w:szCs w:val="21"/>
          <w:shd w:val="clear" w:color="auto" w:fill="FFFF00"/>
        </w:rPr>
      </w:pPr>
    </w:p>
    <w:p w14:paraId="00690099" w14:textId="77777777" w:rsidR="00A219BC" w:rsidRPr="002D1A21" w:rsidRDefault="00A219BC" w:rsidP="00A219BC">
      <w:pPr>
        <w:pStyle w:val="Textbody"/>
        <w:rPr>
          <w:rFonts w:ascii="Arial" w:hAnsi="Arial" w:cs="Arial"/>
        </w:rPr>
      </w:pPr>
    </w:p>
    <w:p w14:paraId="74162B29" w14:textId="56A68278" w:rsidR="00EE7270" w:rsidRPr="002D1A21" w:rsidRDefault="002D1A21" w:rsidP="002D1A21">
      <w:pPr>
        <w:pStyle w:val="Titre1"/>
        <w:pBdr>
          <w:top w:val="none" w:sz="0" w:space="0" w:color="000000"/>
          <w:left w:val="none" w:sz="0" w:space="0" w:color="000000"/>
          <w:bottom w:val="none" w:sz="0" w:space="0" w:color="000000"/>
          <w:right w:val="none" w:sz="0" w:space="0" w:color="000000"/>
        </w:pBdr>
        <w:tabs>
          <w:tab w:val="left" w:pos="0"/>
        </w:tabs>
        <w:ind w:left="716" w:hanging="432"/>
        <w:rPr>
          <w:rFonts w:ascii="Arial" w:hAnsi="Arial" w:cs="Arial"/>
          <w:b w:val="0"/>
          <w:sz w:val="24"/>
          <w:szCs w:val="21"/>
          <w:shd w:val="clear" w:color="auto" w:fill="FFFF00"/>
        </w:rPr>
      </w:pPr>
      <w:r w:rsidRPr="002D1A21">
        <w:rPr>
          <w:rFonts w:ascii="Arial" w:hAnsi="Arial" w:cs="Arial"/>
          <w:b w:val="0"/>
          <w:sz w:val="24"/>
        </w:rPr>
        <w:lastRenderedPageBreak/>
        <w:t>Arrête</w:t>
      </w:r>
      <w:r w:rsidR="00EE7270" w:rsidRPr="002D1A21">
        <w:rPr>
          <w:rFonts w:ascii="Arial" w:hAnsi="Arial" w:cs="Arial"/>
          <w:b w:val="0"/>
          <w:sz w:val="24"/>
        </w:rPr>
        <w:t> :</w:t>
      </w:r>
    </w:p>
    <w:p w14:paraId="1182A9F3" w14:textId="77777777" w:rsidR="00EE7270" w:rsidRPr="002D1A21" w:rsidRDefault="00EE7270" w:rsidP="00EE7270">
      <w:pPr>
        <w:pStyle w:val="Corpsdetexte"/>
        <w:spacing w:after="60"/>
        <w:rPr>
          <w:sz w:val="24"/>
          <w:szCs w:val="21"/>
          <w:shd w:val="clear" w:color="auto" w:fill="FFFF00"/>
        </w:rPr>
      </w:pPr>
    </w:p>
    <w:p w14:paraId="5CBE9209" w14:textId="77777777" w:rsidR="00EE7270" w:rsidRPr="002D1A21" w:rsidRDefault="00EE7270" w:rsidP="00EE7270">
      <w:pPr>
        <w:pStyle w:val="Corpsdetexte"/>
        <w:spacing w:after="60"/>
        <w:rPr>
          <w:sz w:val="24"/>
          <w:szCs w:val="21"/>
          <w:shd w:val="clear" w:color="auto" w:fill="FFFF00"/>
        </w:rPr>
      </w:pPr>
    </w:p>
    <w:p w14:paraId="15F55D68" w14:textId="7C4B982B"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1er :</w:t>
      </w:r>
      <w:r w:rsidRPr="002D1A21">
        <w:rPr>
          <w:rFonts w:eastAsia="SimSun"/>
          <w:b w:val="0"/>
          <w:kern w:val="1"/>
          <w:sz w:val="24"/>
          <w:szCs w:val="24"/>
          <w:lang w:eastAsia="hi-IN" w:bidi="hi-IN"/>
        </w:rPr>
        <w:t xml:space="preserve"> Définition de la zone délimitée et catégorisation des communes</w:t>
      </w:r>
    </w:p>
    <w:p w14:paraId="010D151C" w14:textId="77777777" w:rsidR="00EE7270" w:rsidRPr="002D1A21" w:rsidRDefault="00EE7270" w:rsidP="00EE7270">
      <w:pPr>
        <w:pStyle w:val="Corpsdetexte"/>
        <w:widowControl w:val="0"/>
        <w:spacing w:after="120"/>
        <w:rPr>
          <w:rFonts w:eastAsia="SimSun"/>
          <w:i/>
          <w:color w:val="00B050"/>
          <w:kern w:val="1"/>
          <w:sz w:val="24"/>
          <w:szCs w:val="24"/>
          <w:lang w:eastAsia="hi-IN" w:bidi="hi-IN"/>
        </w:rPr>
      </w:pPr>
      <w:r w:rsidRPr="002D1A21">
        <w:rPr>
          <w:rFonts w:eastAsia="SimSun"/>
          <w:b w:val="0"/>
          <w:kern w:val="1"/>
          <w:sz w:val="24"/>
          <w:szCs w:val="24"/>
          <w:lang w:eastAsia="hi-IN" w:bidi="hi-IN"/>
        </w:rPr>
        <w:t xml:space="preserve">La zone délimitée (ZD) de la flavescence dorée est constituée des territoires des communes infestées, des communes interceptées par la zone tampon ainsi que des communes limitrophes présentant un fort risque de contamination. </w:t>
      </w:r>
    </w:p>
    <w:p w14:paraId="6DEF7ABB"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Les communes de la ZD sont listées en annexe. La cartographie de la zone délimitée est consultable et téléchargeable sur le site internet de la DRAAF-SRAL à l’adresse suivant :</w:t>
      </w:r>
    </w:p>
    <w:p w14:paraId="23CCB0B1" w14:textId="6494A851" w:rsidR="00A219BC" w:rsidRPr="002D1A21" w:rsidRDefault="002D1A21" w:rsidP="00EE7270">
      <w:pPr>
        <w:pStyle w:val="Corpsdetexte"/>
        <w:widowControl w:val="0"/>
        <w:spacing w:after="120"/>
      </w:pPr>
      <w:hyperlink r:id="rId8" w:history="1">
        <w:r w:rsidR="00A219BC" w:rsidRPr="002D1A21">
          <w:rPr>
            <w:rStyle w:val="Lienhypertexte"/>
          </w:rPr>
          <w:t>https://draaf.occitanie.agriculture.gouv.fr/Situation-sanitaire-en-Occitanie,7062</w:t>
        </w:r>
      </w:hyperlink>
    </w:p>
    <w:p w14:paraId="336C1A36" w14:textId="3C54FF23"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 xml:space="preserve">Chacune d’elles est classée en catégorie 1, 2 ou 3. Chaque catégorie correspond à une classe de risque, définie par une évaluation du risque sanitaire, tel que prévu à l’article 12 de l’arrêté ministériel du 27 avril 2021, et est soumise à un nombre de traitements insecticides contre la cicadelle vectrice de la flavescence dorée, et à des modalités de surveillance de la maladie, adaptées : </w:t>
      </w:r>
    </w:p>
    <w:p w14:paraId="5536488E"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u w:val="single"/>
          <w:lang w:eastAsia="hi-IN" w:bidi="hi-IN"/>
        </w:rPr>
        <w:t>Catégorie 1 :</w:t>
      </w:r>
      <w:r w:rsidRPr="002D1A21">
        <w:rPr>
          <w:rFonts w:eastAsia="SimSun"/>
          <w:b w:val="0"/>
          <w:kern w:val="1"/>
          <w:sz w:val="24"/>
          <w:szCs w:val="24"/>
          <w:lang w:eastAsia="hi-IN" w:bidi="hi-IN"/>
        </w:rPr>
        <w:t xml:space="preserve"> communes où la maladie est détectée, concernées par une lutte insecticide non aménagée à trois traitements obligatoires.</w:t>
      </w:r>
    </w:p>
    <w:p w14:paraId="1E8A5F9B"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u w:val="single"/>
          <w:lang w:eastAsia="hi-IN" w:bidi="hi-IN"/>
        </w:rPr>
        <w:t>Catégorie 2 :</w:t>
      </w:r>
      <w:r w:rsidRPr="002D1A21">
        <w:rPr>
          <w:rFonts w:eastAsia="SimSun"/>
          <w:b w:val="0"/>
          <w:kern w:val="1"/>
          <w:sz w:val="24"/>
          <w:szCs w:val="24"/>
          <w:lang w:eastAsia="hi-IN" w:bidi="hi-IN"/>
        </w:rPr>
        <w:t xml:space="preserve"> communes où la maladie est détectée, qui font l’objet d’une lutte aménagée contre la cicadelle vectrice de la flavescence dorée, selon les modalités décrites dans l’article 4. Les critères d’éligibilité de ces communes sont précisés sur le site de la DRAAF Occitanie.</w:t>
      </w:r>
    </w:p>
    <w:p w14:paraId="3D8285FD"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u w:val="single"/>
          <w:lang w:eastAsia="hi-IN" w:bidi="hi-IN"/>
        </w:rPr>
        <w:t>Catégorie 3 :</w:t>
      </w:r>
      <w:r w:rsidRPr="002D1A21">
        <w:rPr>
          <w:rFonts w:eastAsia="SimSun"/>
          <w:b w:val="0"/>
          <w:kern w:val="1"/>
          <w:sz w:val="24"/>
          <w:szCs w:val="24"/>
          <w:lang w:eastAsia="hi-IN" w:bidi="hi-IN"/>
        </w:rPr>
        <w:t xml:space="preserve"> communes où la maladie n’est pas détectée, inscrites dans la ZD en vue d’exercer une surveillance renforcée après une analyse de risque. </w:t>
      </w:r>
    </w:p>
    <w:p w14:paraId="69518EBF" w14:textId="55422146" w:rsidR="00EE7270" w:rsidRPr="002D1A21" w:rsidRDefault="00EE7270" w:rsidP="00EE7270">
      <w:pPr>
        <w:pStyle w:val="Corpsdetexte"/>
        <w:widowControl w:val="0"/>
        <w:spacing w:after="120"/>
        <w:rPr>
          <w:rFonts w:eastAsia="SimSun"/>
          <w:b w:val="0"/>
          <w:kern w:val="1"/>
          <w:sz w:val="24"/>
          <w:szCs w:val="24"/>
          <w:lang w:eastAsia="hi-IN" w:bidi="hi-IN"/>
        </w:rPr>
      </w:pPr>
    </w:p>
    <w:p w14:paraId="65035E9B"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78DE20E8" w14:textId="52EF22BE" w:rsidR="00EE7270" w:rsidRPr="002D1A21" w:rsidRDefault="00EE7270"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2 : </w:t>
      </w:r>
      <w:r w:rsidRPr="002D1A21">
        <w:rPr>
          <w:rFonts w:eastAsia="SimSun"/>
          <w:b w:val="0"/>
          <w:kern w:val="1"/>
          <w:sz w:val="24"/>
          <w:szCs w:val="24"/>
          <w:lang w:eastAsia="hi-IN" w:bidi="hi-IN"/>
        </w:rPr>
        <w:t>Déclaration obligatoire</w:t>
      </w:r>
    </w:p>
    <w:p w14:paraId="7CA15738"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La déclaration obligatoire de présence ou de suspicion de présence de la flavescence dorée, telle que précisée à l’article 2 de l’arrêté ministériel du 27 avril 2021, doit être effectuée auprès de la direction régionale de l'alimentation, de l’agriculture, et de la forêt - service régional de l'alimentation (DRAAF-SRAL) ou de l’organisme à vocation sanitaire reconnu dans le domaine végétal (OVS Occitanie) qui transmettra à la DRAAF-SRAL.</w:t>
      </w:r>
    </w:p>
    <w:p w14:paraId="7D968766" w14:textId="33B02F6F" w:rsidR="00EE7270" w:rsidRPr="002D1A21" w:rsidRDefault="00EE7270" w:rsidP="00EE7270">
      <w:pPr>
        <w:pStyle w:val="Corpsdetexte"/>
        <w:widowControl w:val="0"/>
        <w:spacing w:after="120"/>
        <w:rPr>
          <w:rFonts w:eastAsia="SimSun"/>
          <w:b w:val="0"/>
          <w:kern w:val="1"/>
          <w:sz w:val="24"/>
          <w:szCs w:val="24"/>
          <w:lang w:eastAsia="hi-IN" w:bidi="hi-IN"/>
        </w:rPr>
      </w:pPr>
    </w:p>
    <w:p w14:paraId="0918776A"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12D551CA" w14:textId="6EFEB3B9" w:rsidR="00EE7270" w:rsidRPr="002D1A21" w:rsidRDefault="00EE7270"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3 : </w:t>
      </w:r>
      <w:r w:rsidRPr="002D1A21">
        <w:rPr>
          <w:rFonts w:eastAsia="SimSun"/>
          <w:b w:val="0"/>
          <w:kern w:val="1"/>
          <w:sz w:val="24"/>
          <w:szCs w:val="24"/>
          <w:lang w:eastAsia="hi-IN" w:bidi="hi-IN"/>
        </w:rPr>
        <w:t>Surveillance générale et surveillance renforcée en ZD</w:t>
      </w:r>
    </w:p>
    <w:p w14:paraId="1CAF5E12"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Les mesures de surveillance générale du vignoble précisées à l’article 2 de l’arrêté ministériel du 27 avril 2021 concernent tout propriétaire ou détenteur de vigne (autre qu’un matériel de pépinière viticole, ou de vigne mère), aussi bien en zone délimitée ou qu’en zone exempte.</w:t>
      </w:r>
    </w:p>
    <w:p w14:paraId="0EB8880C"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En zone délimitée définie à l’article 1 du présent arrêté, s’ajoute par ailleurs l’obligation pour tout propriétaire ou détenteur de vigne (autre qu’un matériel de pépinière viticole, ou de vigne mère) de faire réaliser par l’OVS Occitanie ou sous son contrôle, une surveillance visant à la détection des symptômes de flavescence dorée. Cette surveillance est conduite conformément au cahier des charges validé par la DRAAF-SRAL Occitanie.</w:t>
      </w:r>
    </w:p>
    <w:p w14:paraId="5847EDFA" w14:textId="77777777" w:rsidR="00EE7270" w:rsidRPr="002D1A21" w:rsidRDefault="00EE7270" w:rsidP="00EE7270">
      <w:pPr>
        <w:pStyle w:val="Corpsdetexte"/>
        <w:widowControl w:val="0"/>
        <w:spacing w:after="120"/>
        <w:rPr>
          <w:rFonts w:eastAsia="SimSun"/>
          <w:b w:val="0"/>
          <w:kern w:val="1"/>
          <w:sz w:val="24"/>
          <w:szCs w:val="24"/>
          <w:highlight w:val="green"/>
          <w:lang w:eastAsia="hi-IN" w:bidi="hi-IN"/>
        </w:rPr>
      </w:pPr>
      <w:r w:rsidRPr="002D1A21">
        <w:rPr>
          <w:rFonts w:eastAsia="SimSun"/>
          <w:b w:val="0"/>
          <w:kern w:val="1"/>
          <w:sz w:val="24"/>
          <w:szCs w:val="24"/>
          <w:lang w:eastAsia="hi-IN" w:bidi="hi-IN"/>
        </w:rPr>
        <w:t xml:space="preserve">Cette surveillance respecte les obligations définies à l’article 5 de l’arrêté ministériel modifié du 27 avril 2021, à savoir : couverture totale des surfaces viticoles en zone délimitée (hors environnement immédiat </w:t>
      </w:r>
      <w:r w:rsidRPr="002D1A21">
        <w:rPr>
          <w:rFonts w:eastAsia="SimSun"/>
          <w:b w:val="0"/>
          <w:kern w:val="1"/>
          <w:sz w:val="24"/>
          <w:szCs w:val="24"/>
          <w:lang w:eastAsia="hi-IN" w:bidi="hi-IN"/>
        </w:rPr>
        <w:lastRenderedPageBreak/>
        <w:t>des vignes mères et pépinières de Vitis) sur un pas de temps maximum de 5 ans.</w:t>
      </w:r>
    </w:p>
    <w:p w14:paraId="5A8183CF"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Sur analyse de risque de la DRAAF-SRAL, une surveillance des hôtes secondaires du phytoplasme de la flavescence dorée pourra être réalisée.</w:t>
      </w:r>
    </w:p>
    <w:p w14:paraId="6887A368" w14:textId="2990CCEC" w:rsidR="00EE7270" w:rsidRPr="002D1A21" w:rsidRDefault="00EE7270" w:rsidP="00EE7270">
      <w:pPr>
        <w:pStyle w:val="Corpsdetexte"/>
        <w:widowControl w:val="0"/>
        <w:spacing w:after="120"/>
        <w:rPr>
          <w:rFonts w:eastAsia="SimSun"/>
          <w:b w:val="0"/>
          <w:kern w:val="1"/>
          <w:sz w:val="24"/>
          <w:szCs w:val="24"/>
          <w:lang w:eastAsia="hi-IN" w:bidi="hi-IN"/>
        </w:rPr>
      </w:pPr>
    </w:p>
    <w:p w14:paraId="33124856"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3694AAAB" w14:textId="28AD0103"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4 : </w:t>
      </w:r>
      <w:r w:rsidRPr="002D1A21">
        <w:rPr>
          <w:rFonts w:eastAsia="SimSun"/>
          <w:b w:val="0"/>
          <w:kern w:val="1"/>
          <w:sz w:val="24"/>
          <w:szCs w:val="24"/>
          <w:lang w:eastAsia="hi-IN" w:bidi="hi-IN"/>
        </w:rPr>
        <w:t>Surveillance des environnements immédiats de vigne mères et de pépinières de Vitis</w:t>
      </w:r>
    </w:p>
    <w:p w14:paraId="00642C74"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 vecteur de la flavescence dorée étant présent en région Occitanie, la surveillance des environnements de vigne mères et de pépinières de Vitis est obligatoire, de façon exhaustive et annuelle, selon les modalités précisées dans le règlement d’exécution modifié (UE) 2019/2072 du 28 novembre 2019.</w:t>
      </w:r>
    </w:p>
    <w:p w14:paraId="04669FA9" w14:textId="329B84C3" w:rsidR="00EE7270" w:rsidRPr="002D1A21" w:rsidRDefault="00EE7270" w:rsidP="00EE7270">
      <w:pPr>
        <w:pStyle w:val="western"/>
        <w:spacing w:after="119"/>
        <w:rPr>
          <w:rFonts w:eastAsia="SimSun"/>
          <w:kern w:val="1"/>
          <w:sz w:val="24"/>
          <w:szCs w:val="24"/>
          <w:lang w:eastAsia="hi-IN" w:bidi="hi-IN"/>
        </w:rPr>
      </w:pPr>
    </w:p>
    <w:p w14:paraId="1340EFFB" w14:textId="77777777" w:rsidR="006F6700" w:rsidRPr="002D1A21" w:rsidRDefault="006F6700" w:rsidP="00EE7270">
      <w:pPr>
        <w:pStyle w:val="western"/>
        <w:spacing w:after="119"/>
        <w:rPr>
          <w:rFonts w:eastAsia="SimSun"/>
          <w:kern w:val="1"/>
          <w:sz w:val="24"/>
          <w:szCs w:val="24"/>
          <w:lang w:eastAsia="hi-IN" w:bidi="hi-IN"/>
        </w:rPr>
      </w:pPr>
    </w:p>
    <w:p w14:paraId="7007CBD1" w14:textId="3A9D4520" w:rsidR="00EE7270" w:rsidRPr="002D1A21" w:rsidRDefault="00EE7270" w:rsidP="00EE7270">
      <w:pPr>
        <w:pStyle w:val="western"/>
        <w:spacing w:after="119"/>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5 : </w:t>
      </w:r>
      <w:r w:rsidRPr="002D1A21">
        <w:rPr>
          <w:rFonts w:eastAsia="SimSun"/>
          <w:b w:val="0"/>
          <w:kern w:val="1"/>
          <w:sz w:val="24"/>
          <w:szCs w:val="24"/>
          <w:lang w:eastAsia="hi-IN" w:bidi="hi-IN"/>
        </w:rPr>
        <w:t>Contrôle de</w:t>
      </w:r>
      <w:r w:rsidRPr="002D1A21">
        <w:rPr>
          <w:rFonts w:eastAsia="SimSun"/>
          <w:kern w:val="1"/>
          <w:sz w:val="24"/>
          <w:szCs w:val="24"/>
          <w:lang w:eastAsia="hi-IN" w:bidi="hi-IN"/>
        </w:rPr>
        <w:t xml:space="preserve"> </w:t>
      </w:r>
      <w:r w:rsidRPr="002D1A21">
        <w:rPr>
          <w:b w:val="0"/>
          <w:bCs w:val="0"/>
          <w:sz w:val="24"/>
          <w:szCs w:val="24"/>
        </w:rPr>
        <w:t>l’agent vecteur de la flavescence dorée (</w:t>
      </w:r>
      <w:r w:rsidRPr="002D1A21">
        <w:rPr>
          <w:b w:val="0"/>
          <w:bCs w:val="0"/>
          <w:i/>
          <w:iCs/>
          <w:sz w:val="24"/>
          <w:szCs w:val="24"/>
        </w:rPr>
        <w:t>Scaphoïdeus titanus</w:t>
      </w:r>
      <w:r w:rsidRPr="002D1A21">
        <w:rPr>
          <w:b w:val="0"/>
          <w:bCs w:val="0"/>
          <w:sz w:val="24"/>
          <w:szCs w:val="24"/>
        </w:rPr>
        <w:t>) en zone délimitée</w:t>
      </w:r>
    </w:p>
    <w:p w14:paraId="7622FE51" w14:textId="77777777" w:rsidR="00EE7270" w:rsidRPr="002D1A21" w:rsidRDefault="00EE7270" w:rsidP="00EE7270">
      <w:pPr>
        <w:pStyle w:val="Corpsdetexte"/>
        <w:widowControl w:val="0"/>
        <w:spacing w:after="120"/>
        <w:rPr>
          <w:rFonts w:eastAsia="SimSun"/>
          <w:b w:val="0"/>
          <w:kern w:val="2"/>
          <w:sz w:val="24"/>
          <w:szCs w:val="24"/>
          <w:lang w:eastAsia="hi-IN" w:bidi="hi-IN"/>
        </w:rPr>
      </w:pPr>
      <w:r w:rsidRPr="002D1A21">
        <w:rPr>
          <w:rFonts w:eastAsia="SimSun"/>
          <w:b w:val="0"/>
          <w:kern w:val="1"/>
          <w:sz w:val="24"/>
          <w:szCs w:val="24"/>
          <w:lang w:eastAsia="hi-IN" w:bidi="hi-IN"/>
        </w:rPr>
        <w:t xml:space="preserve">Le contrôle de l’agent vecteur de la flavescence dorée est différencié, </w:t>
      </w:r>
      <w:r w:rsidRPr="002D1A21">
        <w:rPr>
          <w:rFonts w:eastAsia="SimSun"/>
          <w:b w:val="0"/>
          <w:kern w:val="2"/>
          <w:sz w:val="24"/>
          <w:szCs w:val="24"/>
          <w:lang w:eastAsia="hi-IN" w:bidi="hi-IN"/>
        </w:rPr>
        <w:t xml:space="preserve">sur la base de l’évaluation du risque phytosanitaire établie par la DRAAF-SRAL Occitanie et l’OVS Occitanie, selon la catégorie des communes : </w:t>
      </w:r>
    </w:p>
    <w:p w14:paraId="3783711F"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La lutte contre la cicadelle </w:t>
      </w:r>
      <w:r w:rsidRPr="002D1A21">
        <w:rPr>
          <w:rFonts w:eastAsia="SimSun"/>
          <w:b w:val="0"/>
          <w:i/>
          <w:kern w:val="1"/>
          <w:sz w:val="24"/>
          <w:szCs w:val="24"/>
          <w:lang w:eastAsia="hi-IN" w:bidi="hi-IN"/>
        </w:rPr>
        <w:t>Scaphoïdeus titanus</w:t>
      </w:r>
      <w:r w:rsidRPr="002D1A21">
        <w:rPr>
          <w:rFonts w:eastAsia="SimSun"/>
          <w:b w:val="0"/>
          <w:kern w:val="1"/>
          <w:sz w:val="24"/>
          <w:szCs w:val="24"/>
          <w:lang w:eastAsia="hi-IN" w:bidi="hi-IN"/>
        </w:rPr>
        <w:t xml:space="preserve"> est obligatoire dans les communes de catégorie 1 et 2 de la zone délimitée visée à l’article 1.</w:t>
      </w:r>
    </w:p>
    <w:p w14:paraId="48978A4D" w14:textId="77777777" w:rsidR="00EE7270" w:rsidRPr="002D1A21" w:rsidRDefault="00EE7270" w:rsidP="00EE7270">
      <w:pPr>
        <w:pStyle w:val="Corpsdetexte"/>
        <w:widowControl w:val="0"/>
        <w:rPr>
          <w:rFonts w:eastAsia="SimSun"/>
          <w:b w:val="0"/>
          <w:kern w:val="1"/>
          <w:sz w:val="24"/>
          <w:szCs w:val="24"/>
          <w:lang w:eastAsia="hi-IN" w:bidi="hi-IN"/>
        </w:rPr>
      </w:pPr>
    </w:p>
    <w:p w14:paraId="78A19638"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Trois traitements sont obligatoires, dès la première année de plantation, pour l’ensemble de ces communes. </w:t>
      </w:r>
    </w:p>
    <w:p w14:paraId="6A0CD1E9"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Néanmoins, dans les communes en catégorie 2, un aménagement de la lutte insecticide est possible sur analyse de risque sanitaire de la DRAAF-SRAL et après son accord : deux ou trois traitements pourront ainsi être rendus facultatifs sur ces communes. Les résultats de la surveillance des populations de l’insecte vecteur de la flavescence dorée font notamment partie de cette analyse de risque.</w:t>
      </w:r>
    </w:p>
    <w:p w14:paraId="08DDC352" w14:textId="77777777" w:rsidR="00EE7270" w:rsidRPr="002D1A21" w:rsidRDefault="00EE7270" w:rsidP="00EE7270">
      <w:pPr>
        <w:pStyle w:val="Corpsdetexte"/>
        <w:widowControl w:val="0"/>
        <w:rPr>
          <w:rFonts w:eastAsia="SimSun"/>
          <w:b w:val="0"/>
          <w:kern w:val="1"/>
          <w:sz w:val="24"/>
          <w:szCs w:val="16"/>
          <w:lang w:eastAsia="hi-IN" w:bidi="hi-IN"/>
        </w:rPr>
      </w:pPr>
      <w:r w:rsidRPr="002D1A21">
        <w:rPr>
          <w:rFonts w:eastAsia="SimSun"/>
          <w:b w:val="0"/>
          <w:kern w:val="1"/>
          <w:sz w:val="24"/>
          <w:szCs w:val="24"/>
          <w:lang w:eastAsia="hi-IN" w:bidi="hi-IN"/>
        </w:rPr>
        <w:t xml:space="preserve">L’aménagement de la lutte insecticide ne peut pas s’appliquer aux parcelles de vigne-mères, ni aux pépinières. </w:t>
      </w:r>
    </w:p>
    <w:p w14:paraId="3E9AD4F1" w14:textId="77777777" w:rsidR="00EE7270" w:rsidRPr="002D1A21" w:rsidRDefault="00EE7270" w:rsidP="00EE7270">
      <w:pPr>
        <w:pStyle w:val="Corpsdetexte"/>
        <w:widowControl w:val="0"/>
        <w:rPr>
          <w:rFonts w:eastAsia="SimSun"/>
          <w:b w:val="0"/>
          <w:kern w:val="1"/>
          <w:sz w:val="24"/>
          <w:szCs w:val="24"/>
          <w:lang w:eastAsia="hi-IN" w:bidi="hi-IN"/>
        </w:rPr>
      </w:pPr>
    </w:p>
    <w:p w14:paraId="54E7E536"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La lutte contre la cicadelle </w:t>
      </w:r>
      <w:r w:rsidRPr="002D1A21">
        <w:rPr>
          <w:rFonts w:eastAsia="SimSun"/>
          <w:b w:val="0"/>
          <w:i/>
          <w:kern w:val="1"/>
          <w:sz w:val="24"/>
          <w:szCs w:val="24"/>
          <w:lang w:eastAsia="hi-IN" w:bidi="hi-IN"/>
        </w:rPr>
        <w:t>Scaphoïdeus titanus</w:t>
      </w:r>
      <w:r w:rsidRPr="002D1A21">
        <w:rPr>
          <w:rFonts w:eastAsia="SimSun"/>
          <w:b w:val="0"/>
          <w:kern w:val="1"/>
          <w:sz w:val="24"/>
          <w:szCs w:val="24"/>
          <w:lang w:eastAsia="hi-IN" w:bidi="hi-IN"/>
        </w:rPr>
        <w:t xml:space="preserve"> sera réalisée au moyen d’un produit phytopharmaceutique insecticide autorisé pour cet usage. De nouvelles modalités (autres que chimiques), découlant d’une éventuelle avancée des recherches concernant les moyens de lutte, ne pourraient être utilisées que sur validation préalable de la DRAAF-SRAL.  </w:t>
      </w:r>
    </w:p>
    <w:p w14:paraId="5F512347" w14:textId="77777777" w:rsidR="00EE7270" w:rsidRPr="002D1A21" w:rsidRDefault="00EE7270" w:rsidP="00EE7270">
      <w:pPr>
        <w:pStyle w:val="Corpsdetexte"/>
        <w:widowControl w:val="0"/>
        <w:rPr>
          <w:rFonts w:eastAsia="SimSun"/>
          <w:b w:val="0"/>
          <w:kern w:val="1"/>
          <w:sz w:val="24"/>
          <w:szCs w:val="24"/>
          <w:lang w:eastAsia="hi-IN" w:bidi="hi-IN"/>
        </w:rPr>
      </w:pPr>
    </w:p>
    <w:p w14:paraId="46C352C1" w14:textId="77777777" w:rsidR="00EE7270" w:rsidRPr="002D1A21" w:rsidRDefault="00EE7270" w:rsidP="00EE7270">
      <w:pPr>
        <w:pStyle w:val="Corpsdetexte"/>
        <w:widowControl w:val="0"/>
      </w:pPr>
      <w:r w:rsidRPr="002D1A21">
        <w:rPr>
          <w:rFonts w:eastAsia="SimSun"/>
          <w:b w:val="0"/>
          <w:kern w:val="1"/>
          <w:sz w:val="24"/>
          <w:szCs w:val="24"/>
          <w:lang w:eastAsia="hi-IN" w:bidi="hi-IN"/>
        </w:rPr>
        <w:t>Le nombre et les périodes d’application du traitement chimique sont précisés, pour l’ensemble des communes en zone délimitée définie à l’article 1 du présent arrêté, suite à une concertation entre la DRAAF-SRAL, la chambre régionale d’agriculture et l’organisme à vocation sanitaire OVS Occitanie, et sont publiés sur le site internet de la DRAAF-SRAL à l’adresse :</w:t>
      </w:r>
      <w:r w:rsidRPr="002D1A21">
        <w:t xml:space="preserve"> </w:t>
      </w:r>
    </w:p>
    <w:p w14:paraId="4E4A8889" w14:textId="77777777" w:rsidR="00EE7270" w:rsidRPr="002D1A21" w:rsidRDefault="002D1A21" w:rsidP="00EE7270">
      <w:pPr>
        <w:pStyle w:val="Corpsdetexte"/>
        <w:widowControl w:val="0"/>
        <w:rPr>
          <w:rStyle w:val="Lienhypertexte"/>
          <w:b w:val="0"/>
          <w:sz w:val="24"/>
        </w:rPr>
      </w:pPr>
      <w:hyperlink r:id="rId9" w:history="1">
        <w:r w:rsidR="00EE7270" w:rsidRPr="002D1A21">
          <w:rPr>
            <w:rStyle w:val="Lienhypertexte"/>
            <w:b w:val="0"/>
            <w:sz w:val="24"/>
          </w:rPr>
          <w:t>https://draaf.occitanie.agriculture.gouv.fr/Traitements-obligatoires</w:t>
        </w:r>
      </w:hyperlink>
    </w:p>
    <w:p w14:paraId="1C64C21E" w14:textId="77777777" w:rsidR="00EE7270" w:rsidRPr="002D1A21" w:rsidRDefault="00EE7270" w:rsidP="00EE7270">
      <w:pPr>
        <w:pStyle w:val="Corpsdetexte"/>
        <w:widowControl w:val="0"/>
        <w:rPr>
          <w:rFonts w:eastAsia="SimSun"/>
          <w:b w:val="0"/>
          <w:kern w:val="1"/>
          <w:sz w:val="24"/>
          <w:szCs w:val="24"/>
          <w:highlight w:val="yellow"/>
          <w:lang w:eastAsia="hi-IN" w:bidi="hi-IN"/>
        </w:rPr>
      </w:pPr>
    </w:p>
    <w:p w14:paraId="6077C446"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Tout propriétaire ou détenteur de vignes est tenu d’enregistrer les traitements effectués contre le vecteur en précisant la date de traitement et le produit utilisé. Ce registre, ainsi que les justificatifs d’achats des produits phytopharmaceutiques utilisés, doivent pouvoir être mis à disposition des agents de contrôle.</w:t>
      </w:r>
    </w:p>
    <w:p w14:paraId="6DB1A74A" w14:textId="77777777" w:rsidR="00EE7270" w:rsidRPr="002D1A21" w:rsidRDefault="00EE7270" w:rsidP="00EE7270">
      <w:pPr>
        <w:pStyle w:val="Corpsdetexte"/>
        <w:widowControl w:val="0"/>
        <w:rPr>
          <w:rFonts w:eastAsia="SimSun"/>
          <w:b w:val="0"/>
          <w:kern w:val="1"/>
          <w:sz w:val="24"/>
          <w:szCs w:val="24"/>
          <w:lang w:eastAsia="hi-IN" w:bidi="hi-IN"/>
        </w:rPr>
      </w:pPr>
    </w:p>
    <w:p w14:paraId="536BB75F"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Par dérogation prévue par l’article 12 de l'arrêté ministériel du 27 avril 2021, la distance de non-</w:t>
      </w:r>
      <w:r w:rsidRPr="002D1A21">
        <w:rPr>
          <w:rFonts w:eastAsia="SimSun"/>
          <w:b w:val="0"/>
          <w:kern w:val="1"/>
          <w:sz w:val="24"/>
          <w:szCs w:val="24"/>
          <w:lang w:eastAsia="hi-IN" w:bidi="hi-IN"/>
        </w:rPr>
        <w:lastRenderedPageBreak/>
        <w:t>traitement en bordure des points d’eau, tels que définis par l'arrêté du 4 mai 2017 modifié, est fixée à 5 mètres de largeur pour les produits phytopharmaceutiques destinés au contrôle de l’agent vecteur de la flavescence dorée. Tout moyen doit être mis en œuvre pour limiter la dérive des produits en dehors de la zone traitée.</w:t>
      </w:r>
      <w:r w:rsidRPr="002D1A21">
        <w:rPr>
          <w:rFonts w:eastAsia="SimSun"/>
          <w:b w:val="0"/>
          <w:kern w:val="24"/>
          <w:sz w:val="24"/>
          <w:szCs w:val="24"/>
          <w:lang w:eastAsia="hi-IN" w:bidi="hi-IN"/>
        </w:rPr>
        <w:t xml:space="preserve"> </w:t>
      </w:r>
    </w:p>
    <w:p w14:paraId="66668A28"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Cette distance peut être portée à 3 mètres sous réserve de la mise en œuvre de matériels permettant de diminuer la dérive de pulvérisation pour les milieux aquatiques de 90% ou plus et figurant sur la liste publiée au Bulletin officiel du Ministère chargé de l’agriculture.</w:t>
      </w:r>
    </w:p>
    <w:p w14:paraId="4F6A6909" w14:textId="1B401E42" w:rsidR="00EE7270" w:rsidRPr="002D1A21" w:rsidRDefault="00EE7270" w:rsidP="00EE7270">
      <w:pPr>
        <w:pStyle w:val="Corpsdetexte"/>
        <w:widowControl w:val="0"/>
        <w:spacing w:after="120"/>
        <w:rPr>
          <w:rFonts w:eastAsia="SimSun"/>
          <w:b w:val="0"/>
          <w:kern w:val="1"/>
          <w:sz w:val="24"/>
          <w:szCs w:val="24"/>
          <w:lang w:eastAsia="hi-IN" w:bidi="hi-IN"/>
        </w:rPr>
      </w:pPr>
    </w:p>
    <w:p w14:paraId="05D57CDB"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404C4EE5" w14:textId="5B6E8BA9" w:rsidR="00EE7270" w:rsidRPr="002D1A21" w:rsidRDefault="001110B5"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6</w:t>
      </w:r>
      <w:r w:rsidR="00EE7270" w:rsidRPr="002D1A21">
        <w:rPr>
          <w:rFonts w:eastAsia="SimSun"/>
          <w:kern w:val="1"/>
          <w:sz w:val="24"/>
          <w:szCs w:val="24"/>
          <w:lang w:eastAsia="hi-IN" w:bidi="hi-IN"/>
        </w:rPr>
        <w:t xml:space="preserve"> : </w:t>
      </w:r>
      <w:r w:rsidR="00EE7270" w:rsidRPr="002D1A21">
        <w:rPr>
          <w:rFonts w:eastAsia="SimSun"/>
          <w:b w:val="0"/>
          <w:kern w:val="1"/>
          <w:sz w:val="24"/>
          <w:szCs w:val="24"/>
          <w:lang w:eastAsia="hi-IN" w:bidi="hi-IN"/>
        </w:rPr>
        <w:t>Mesures de lutte en foyers de flavescence dorée ou présentant des symptômes de type jaunisse à phytoplasme</w:t>
      </w:r>
      <w:r w:rsidR="00EE7270" w:rsidRPr="002D1A21">
        <w:rPr>
          <w:rFonts w:eastAsia="SimSun"/>
          <w:kern w:val="1"/>
          <w:sz w:val="24"/>
          <w:szCs w:val="24"/>
          <w:lang w:eastAsia="hi-IN" w:bidi="hi-IN"/>
        </w:rPr>
        <w:t xml:space="preserve"> </w:t>
      </w:r>
    </w:p>
    <w:p w14:paraId="4A7B6BC0" w14:textId="24CC5648"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Les propriétaires ou exploitants détenteurs de vigne située en zone délimitée ou en zone exempte, ont obligation, après notification de la présence de cep(s) contaminé(s)</w:t>
      </w:r>
      <w:r w:rsidR="0054388C" w:rsidRPr="002D1A21">
        <w:rPr>
          <w:rFonts w:eastAsia="SimSun"/>
          <w:b w:val="0"/>
          <w:kern w:val="1"/>
          <w:sz w:val="24"/>
          <w:szCs w:val="24"/>
          <w:lang w:eastAsia="hi-IN" w:bidi="hi-IN"/>
        </w:rPr>
        <w:t xml:space="preserve"> </w:t>
      </w:r>
      <w:r w:rsidRPr="002D1A21">
        <w:rPr>
          <w:rFonts w:eastAsia="SimSun"/>
          <w:b w:val="0"/>
          <w:kern w:val="1"/>
          <w:sz w:val="24"/>
          <w:szCs w:val="24"/>
          <w:lang w:eastAsia="hi-IN" w:bidi="hi-IN"/>
        </w:rPr>
        <w:t>par une jaunisse à phytoplasme, par la DRAAF-SRAL Occitanie, l’OVS Occitanie ou ses sections départementales, de détruire ce(s) cep(s) par arrachage ou coupe et dévitalisation, au plus tard le 1er mars suivant la date de découverte de la contamination, en empêchant toutes repousses.</w:t>
      </w:r>
    </w:p>
    <w:p w14:paraId="7BE1864E"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En application de l’article 8 de l’arrêté ministériel du 27 avril 2021 susvisé, les parcelles ou parties de parcelles culturales présentant un taux, cumulé sur une durée maximale de 3 campagnes consécutives, de ceps contaminés par la flavescence dorée, ou présentant des symptômes de type jaunisse à phytoplasme, supérieur ou égal à 20% doivent être arrachées et détruites dans les mêmes conditions que celles prévues ci-dessus.</w:t>
      </w:r>
    </w:p>
    <w:p w14:paraId="5854073F" w14:textId="38803262" w:rsidR="00EE7270" w:rsidRPr="002D1A21" w:rsidRDefault="00EE7270" w:rsidP="00EE7270">
      <w:pPr>
        <w:pStyle w:val="Corpsdetexte"/>
        <w:widowControl w:val="0"/>
        <w:spacing w:after="120"/>
        <w:rPr>
          <w:rFonts w:eastAsia="SimSun"/>
          <w:b w:val="0"/>
          <w:kern w:val="1"/>
          <w:sz w:val="24"/>
          <w:szCs w:val="24"/>
          <w:lang w:eastAsia="hi-IN" w:bidi="hi-IN"/>
        </w:rPr>
      </w:pPr>
    </w:p>
    <w:p w14:paraId="2919B9F6"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2AA6D14E" w14:textId="1A8DECCE" w:rsidR="00EE7270" w:rsidRPr="002D1A21" w:rsidRDefault="001110B5" w:rsidP="00EE7270">
      <w:pPr>
        <w:pStyle w:val="Corpsdetexte"/>
        <w:widowControl w:val="0"/>
        <w:spacing w:after="120"/>
        <w:rPr>
          <w:rFonts w:eastAsia="SimSun"/>
          <w:b w:val="0"/>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7</w:t>
      </w:r>
      <w:r w:rsidR="00EE7270" w:rsidRPr="002D1A21">
        <w:rPr>
          <w:rFonts w:eastAsia="SimSun"/>
          <w:kern w:val="1"/>
          <w:sz w:val="24"/>
          <w:szCs w:val="24"/>
          <w:lang w:eastAsia="hi-IN" w:bidi="hi-IN"/>
        </w:rPr>
        <w:t> :</w:t>
      </w:r>
      <w:r w:rsidR="002D1A21">
        <w:rPr>
          <w:rFonts w:eastAsia="SimSun"/>
          <w:b w:val="0"/>
          <w:kern w:val="1"/>
          <w:sz w:val="24"/>
          <w:szCs w:val="24"/>
          <w:lang w:eastAsia="hi-IN" w:bidi="hi-IN"/>
        </w:rPr>
        <w:t xml:space="preserve"> Arrachages de vignes non cultivées</w:t>
      </w:r>
    </w:p>
    <w:p w14:paraId="5CB879DF"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En zone délimitée, outre l’arrachage des parcelles de vigne non cultivée situées à moins de 20 m d’une vigne-mère, rendue obligatoire par l’article 9 de l’arrêté ministériel du 27 avril 2021, l’assainissement des communes pourra être complétée, sur analyse de risque de la DRAAF-SRAL, par l’arrachage de parcelles de vigne non cultivée présentant un risque majeur de dissémination de la maladie.</w:t>
      </w:r>
    </w:p>
    <w:p w14:paraId="2C28465E" w14:textId="77777777" w:rsidR="00EE7270" w:rsidRPr="002D1A21" w:rsidRDefault="00EE7270" w:rsidP="00EE7270">
      <w:pPr>
        <w:pStyle w:val="Corpsdetexte"/>
        <w:widowControl w:val="0"/>
        <w:spacing w:after="120"/>
        <w:rPr>
          <w:rFonts w:eastAsia="SimSun"/>
          <w:b w:val="0"/>
          <w:bCs/>
          <w:kern w:val="1"/>
          <w:sz w:val="24"/>
          <w:szCs w:val="24"/>
          <w:lang w:eastAsia="hi-IN" w:bidi="hi-IN"/>
        </w:rPr>
      </w:pPr>
      <w:r w:rsidRPr="002D1A21">
        <w:rPr>
          <w:rFonts w:eastAsia="SimSun"/>
          <w:b w:val="0"/>
          <w:kern w:val="1"/>
          <w:sz w:val="24"/>
          <w:szCs w:val="24"/>
          <w:lang w:eastAsia="hi-IN" w:bidi="hi-IN"/>
        </w:rPr>
        <w:t>Une vigne non cultivée est caractérisée par l’absence manifeste de pratiques culturales.</w:t>
      </w:r>
    </w:p>
    <w:p w14:paraId="0FB4FEC8" w14:textId="5DF54F34" w:rsidR="00EE7270" w:rsidRPr="002D1A21" w:rsidRDefault="00EE7270" w:rsidP="00EE7270">
      <w:pPr>
        <w:pStyle w:val="Corpsdetexte"/>
        <w:widowControl w:val="0"/>
        <w:spacing w:after="120"/>
        <w:rPr>
          <w:rFonts w:eastAsia="SimSun"/>
          <w:b w:val="0"/>
          <w:bCs/>
          <w:kern w:val="1"/>
          <w:sz w:val="24"/>
          <w:szCs w:val="24"/>
          <w:lang w:eastAsia="hi-IN" w:bidi="hi-IN"/>
        </w:rPr>
      </w:pPr>
    </w:p>
    <w:p w14:paraId="26EC7939" w14:textId="77777777" w:rsidR="006F6700" w:rsidRPr="002D1A21" w:rsidRDefault="006F6700" w:rsidP="00EE7270">
      <w:pPr>
        <w:pStyle w:val="Corpsdetexte"/>
        <w:widowControl w:val="0"/>
        <w:spacing w:after="120"/>
        <w:rPr>
          <w:rFonts w:eastAsia="SimSun"/>
          <w:b w:val="0"/>
          <w:bCs/>
          <w:kern w:val="1"/>
          <w:sz w:val="24"/>
          <w:szCs w:val="24"/>
          <w:lang w:eastAsia="hi-IN" w:bidi="hi-IN"/>
        </w:rPr>
      </w:pPr>
    </w:p>
    <w:p w14:paraId="2D9EFEB9" w14:textId="2C8855B1" w:rsidR="00EE7270" w:rsidRPr="002D1A21" w:rsidRDefault="00EE7270" w:rsidP="00EE7270">
      <w:pPr>
        <w:pStyle w:val="Corpsdetexte"/>
        <w:widowControl w:val="0"/>
        <w:spacing w:after="120"/>
        <w:rPr>
          <w:rFonts w:eastAsia="SimSun"/>
          <w:b w:val="0"/>
          <w:bCs/>
          <w:kern w:val="1"/>
          <w:sz w:val="24"/>
          <w:szCs w:val="24"/>
          <w:lang w:eastAsia="hi-IN" w:bidi="hi-IN"/>
        </w:rPr>
      </w:pPr>
      <w:r w:rsidRPr="002D1A21">
        <w:rPr>
          <w:rFonts w:eastAsia="SimSun"/>
          <w:bCs/>
          <w:kern w:val="1"/>
          <w:sz w:val="24"/>
          <w:szCs w:val="24"/>
          <w:lang w:eastAsia="hi-IN" w:bidi="hi-IN"/>
        </w:rPr>
        <w:t>Art</w:t>
      </w:r>
      <w:r w:rsidR="002D1A21">
        <w:rPr>
          <w:rFonts w:eastAsia="SimSun"/>
          <w:bCs/>
          <w:kern w:val="1"/>
          <w:sz w:val="24"/>
          <w:szCs w:val="24"/>
          <w:lang w:eastAsia="hi-IN" w:bidi="hi-IN"/>
        </w:rPr>
        <w:t>.</w:t>
      </w:r>
      <w:r w:rsidRPr="002D1A21">
        <w:rPr>
          <w:rFonts w:eastAsia="SimSun"/>
          <w:bCs/>
          <w:kern w:val="1"/>
          <w:sz w:val="24"/>
          <w:szCs w:val="24"/>
          <w:lang w:eastAsia="hi-IN" w:bidi="hi-IN"/>
        </w:rPr>
        <w:t xml:space="preserve"> </w:t>
      </w:r>
      <w:r w:rsidR="001110B5" w:rsidRPr="002D1A21">
        <w:rPr>
          <w:rFonts w:eastAsia="SimSun"/>
          <w:bCs/>
          <w:kern w:val="1"/>
          <w:sz w:val="24"/>
          <w:szCs w:val="24"/>
          <w:lang w:eastAsia="hi-IN" w:bidi="hi-IN"/>
        </w:rPr>
        <w:t>8</w:t>
      </w:r>
      <w:r w:rsidRPr="002D1A21">
        <w:rPr>
          <w:rFonts w:eastAsia="SimSun"/>
          <w:bCs/>
          <w:kern w:val="1"/>
          <w:sz w:val="24"/>
          <w:szCs w:val="24"/>
          <w:lang w:eastAsia="hi-IN" w:bidi="hi-IN"/>
        </w:rPr>
        <w:t> :</w:t>
      </w:r>
      <w:r w:rsidR="002D1A21">
        <w:rPr>
          <w:rFonts w:eastAsia="SimSun"/>
          <w:b w:val="0"/>
          <w:bCs/>
          <w:kern w:val="1"/>
          <w:sz w:val="24"/>
          <w:szCs w:val="24"/>
          <w:lang w:eastAsia="hi-IN" w:bidi="hi-IN"/>
        </w:rPr>
        <w:t xml:space="preserve"> Dispositions en cas de carence</w:t>
      </w:r>
    </w:p>
    <w:p w14:paraId="479EBE4C" w14:textId="65834DC0"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En cas de carence d’un propriétaire ou d’un exploitant pour l’une des mesures citées aux articles 2, 3, 4, 5 et 6, les dispositions des articles L.251-9 et L.251-10 du code rural et de la pêche maritime sont appliquées.</w:t>
      </w:r>
    </w:p>
    <w:p w14:paraId="2FF74134" w14:textId="44E4FC18" w:rsidR="00EE7270" w:rsidRPr="002D1A21" w:rsidRDefault="00EE7270" w:rsidP="00EE7270">
      <w:pPr>
        <w:pStyle w:val="Corpsdetexte"/>
        <w:widowControl w:val="0"/>
        <w:spacing w:after="120"/>
        <w:rPr>
          <w:rFonts w:eastAsia="SimSun"/>
          <w:b w:val="0"/>
          <w:kern w:val="1"/>
          <w:sz w:val="24"/>
          <w:szCs w:val="24"/>
          <w:lang w:eastAsia="hi-IN" w:bidi="hi-IN"/>
        </w:rPr>
      </w:pPr>
    </w:p>
    <w:p w14:paraId="1FA7FA97"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3B8D2854" w14:textId="233B4764" w:rsidR="00EE7270" w:rsidRPr="002D1A21" w:rsidRDefault="001110B5"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9</w:t>
      </w:r>
      <w:r w:rsidR="00EE7270" w:rsidRPr="002D1A21">
        <w:rPr>
          <w:rFonts w:eastAsia="SimSun"/>
          <w:kern w:val="1"/>
          <w:sz w:val="24"/>
          <w:szCs w:val="24"/>
          <w:lang w:eastAsia="hi-IN" w:bidi="hi-IN"/>
        </w:rPr>
        <w:t xml:space="preserve"> </w:t>
      </w:r>
      <w:r w:rsidR="00EE7270" w:rsidRPr="002D1A21">
        <w:rPr>
          <w:rFonts w:eastAsia="SimSun"/>
          <w:b w:val="0"/>
          <w:kern w:val="1"/>
          <w:sz w:val="24"/>
          <w:szCs w:val="24"/>
          <w:lang w:eastAsia="hi-IN" w:bidi="hi-IN"/>
        </w:rPr>
        <w:t>:</w:t>
      </w:r>
      <w:r w:rsidR="002D1A21">
        <w:rPr>
          <w:rFonts w:eastAsia="SimSun"/>
          <w:b w:val="0"/>
          <w:kern w:val="1"/>
          <w:sz w:val="24"/>
          <w:szCs w:val="24"/>
          <w:lang w:eastAsia="hi-IN" w:bidi="hi-IN"/>
        </w:rPr>
        <w:t xml:space="preserve"> Abrogation du précédent arrêté préfectoral</w:t>
      </w:r>
    </w:p>
    <w:p w14:paraId="31510073" w14:textId="79969D2B" w:rsidR="00EE7270" w:rsidRPr="002D1A21" w:rsidRDefault="00EE7270" w:rsidP="00EE7270">
      <w:pPr>
        <w:pStyle w:val="Corpsdetexte"/>
        <w:widowControl w:val="0"/>
        <w:spacing w:after="120"/>
        <w:rPr>
          <w:b w:val="0"/>
          <w:sz w:val="24"/>
        </w:rPr>
      </w:pPr>
      <w:r w:rsidRPr="002D1A21">
        <w:rPr>
          <w:rFonts w:eastAsia="SimSun"/>
          <w:b w:val="0"/>
          <w:bCs/>
          <w:kern w:val="1"/>
          <w:sz w:val="24"/>
          <w:szCs w:val="24"/>
          <w:lang w:eastAsia="hi-IN" w:bidi="hi-IN"/>
        </w:rPr>
        <w:t>Est</w:t>
      </w:r>
      <w:r w:rsidRPr="002D1A21">
        <w:rPr>
          <w:rFonts w:eastAsia="SimSun"/>
          <w:b w:val="0"/>
          <w:kern w:val="1"/>
          <w:sz w:val="24"/>
          <w:szCs w:val="24"/>
          <w:lang w:eastAsia="hi-IN" w:bidi="hi-IN"/>
        </w:rPr>
        <w:t xml:space="preserve"> abrogé l’arrêté préfectoral du </w:t>
      </w:r>
      <w:r w:rsidR="002D1A21" w:rsidRPr="002D1A21">
        <w:rPr>
          <w:rFonts w:eastAsia="SimSun"/>
          <w:b w:val="0"/>
          <w:kern w:val="1"/>
          <w:sz w:val="24"/>
          <w:szCs w:val="24"/>
          <w:highlight w:val="yellow"/>
          <w:lang w:eastAsia="hi-IN" w:bidi="hi-IN"/>
        </w:rPr>
        <w:t>1</w:t>
      </w:r>
      <w:r w:rsidR="002D1A21" w:rsidRPr="002D1A21">
        <w:rPr>
          <w:rFonts w:eastAsia="SimSun"/>
          <w:b w:val="0"/>
          <w:kern w:val="1"/>
          <w:sz w:val="24"/>
          <w:szCs w:val="24"/>
          <w:highlight w:val="yellow"/>
          <w:vertAlign w:val="superscript"/>
          <w:lang w:eastAsia="hi-IN" w:bidi="hi-IN"/>
        </w:rPr>
        <w:t>er</w:t>
      </w:r>
      <w:r w:rsidR="002D1A21" w:rsidRPr="002D1A21">
        <w:rPr>
          <w:rFonts w:eastAsia="SimSun"/>
          <w:b w:val="0"/>
          <w:kern w:val="1"/>
          <w:sz w:val="24"/>
          <w:szCs w:val="24"/>
          <w:highlight w:val="yellow"/>
          <w:lang w:eastAsia="hi-IN" w:bidi="hi-IN"/>
        </w:rPr>
        <w:t xml:space="preserve"> juillet 2022</w:t>
      </w:r>
      <w:r w:rsidR="002D1A21" w:rsidRPr="002D1A21">
        <w:rPr>
          <w:rFonts w:eastAsia="SimSun"/>
          <w:b w:val="0"/>
          <w:kern w:val="1"/>
          <w:sz w:val="24"/>
          <w:szCs w:val="24"/>
          <w:lang w:eastAsia="hi-IN" w:bidi="hi-IN"/>
        </w:rPr>
        <w:t xml:space="preserve"> </w:t>
      </w:r>
      <w:r w:rsidRPr="002D1A21">
        <w:rPr>
          <w:b w:val="0"/>
          <w:sz w:val="24"/>
        </w:rPr>
        <w:t>organisant au niveau régional la lutte contre la flavescence dorée de la vigne.</w:t>
      </w:r>
    </w:p>
    <w:p w14:paraId="0B8AFEC4" w14:textId="77777777" w:rsidR="00EE7270" w:rsidRPr="002D1A21" w:rsidRDefault="00EE7270" w:rsidP="00EE7270">
      <w:pPr>
        <w:pStyle w:val="Corpsdetexte"/>
        <w:widowControl w:val="0"/>
        <w:spacing w:after="120"/>
        <w:rPr>
          <w:b w:val="0"/>
          <w:sz w:val="24"/>
        </w:rPr>
      </w:pPr>
    </w:p>
    <w:p w14:paraId="6E5C6783" w14:textId="1FBC942F" w:rsidR="00EE7270" w:rsidRPr="002D1A21" w:rsidRDefault="001110B5" w:rsidP="00EE7270">
      <w:pPr>
        <w:pStyle w:val="Corpsdetexte"/>
        <w:widowControl w:val="0"/>
        <w:spacing w:after="120"/>
        <w:rPr>
          <w:sz w:val="24"/>
        </w:rPr>
      </w:pPr>
      <w:r w:rsidRPr="002D1A21">
        <w:rPr>
          <w:sz w:val="24"/>
        </w:rPr>
        <w:t>Art</w:t>
      </w:r>
      <w:r w:rsidR="002D1A21">
        <w:rPr>
          <w:sz w:val="24"/>
        </w:rPr>
        <w:t>.</w:t>
      </w:r>
      <w:r w:rsidRPr="002D1A21">
        <w:rPr>
          <w:sz w:val="24"/>
        </w:rPr>
        <w:t xml:space="preserve"> 10</w:t>
      </w:r>
      <w:r w:rsidR="00EE7270" w:rsidRPr="002D1A21">
        <w:rPr>
          <w:sz w:val="24"/>
        </w:rPr>
        <w:t> :</w:t>
      </w:r>
      <w:r w:rsidR="002D1A21">
        <w:rPr>
          <w:sz w:val="24"/>
        </w:rPr>
        <w:t xml:space="preserve"> </w:t>
      </w:r>
      <w:r w:rsidR="002D1A21" w:rsidRPr="002D1A21">
        <w:rPr>
          <w:b w:val="0"/>
          <w:sz w:val="24"/>
        </w:rPr>
        <w:t>Exécution</w:t>
      </w:r>
    </w:p>
    <w:p w14:paraId="69FC0346" w14:textId="77777777" w:rsidR="00EE7270" w:rsidRPr="002D1A21" w:rsidRDefault="00EE7270" w:rsidP="00EE7270">
      <w:pPr>
        <w:pStyle w:val="Corpsdetexte"/>
        <w:widowControl w:val="0"/>
        <w:spacing w:after="120"/>
        <w:rPr>
          <w:b w:val="0"/>
          <w:sz w:val="24"/>
          <w:szCs w:val="24"/>
        </w:rPr>
      </w:pPr>
      <w:r w:rsidRPr="002D1A21">
        <w:rPr>
          <w:rFonts w:eastAsia="SimSun"/>
          <w:b w:val="0"/>
          <w:kern w:val="1"/>
          <w:sz w:val="24"/>
          <w:szCs w:val="24"/>
          <w:lang w:eastAsia="hi-IN" w:bidi="hi-IN"/>
        </w:rPr>
        <w:t>Le secrétaire général pour les affaires régionales, le directeur régional de l’alimentation, de l’agriculture et de la forêt, les préfets de département, les directeurs départementaux en charge de la protection des populations, les directeurs départementaux des territoires et de la mer, les maires des communes, sont chargés, chacun en ce qui les concerne, de l'exécution du présent arrêté qui sera publié au recueil des actes administratifs de la préfecture de région.</w:t>
      </w:r>
    </w:p>
    <w:p w14:paraId="041689D9" w14:textId="77777777" w:rsidR="00EE7270" w:rsidRPr="002D1A21" w:rsidRDefault="00EE7270" w:rsidP="00EE7270">
      <w:pPr>
        <w:pStyle w:val="Corpsdetexte"/>
        <w:rPr>
          <w:b w:val="0"/>
          <w:sz w:val="24"/>
          <w:szCs w:val="24"/>
        </w:rPr>
      </w:pPr>
    </w:p>
    <w:p w14:paraId="6FB2EF25" w14:textId="77777777" w:rsidR="00EE7270" w:rsidRPr="002D1A21" w:rsidRDefault="00EE7270" w:rsidP="00EE7270">
      <w:pPr>
        <w:pStyle w:val="Corpsdetexte"/>
        <w:rPr>
          <w:b w:val="0"/>
          <w:sz w:val="24"/>
          <w:szCs w:val="24"/>
        </w:rPr>
      </w:pPr>
      <w:r w:rsidRPr="002D1A21">
        <w:rPr>
          <w:b w:val="0"/>
          <w:sz w:val="24"/>
          <w:szCs w:val="24"/>
        </w:rPr>
        <w:t xml:space="preserve">Fait à Toulouse, le </w:t>
      </w:r>
    </w:p>
    <w:p w14:paraId="3E8D49D0" w14:textId="77777777" w:rsidR="006E29E3" w:rsidRPr="002D1A21" w:rsidRDefault="006E29E3">
      <w:pPr>
        <w:pStyle w:val="Textbody"/>
        <w:spacing w:after="0"/>
        <w:ind w:left="6236"/>
        <w:jc w:val="both"/>
        <w:rPr>
          <w:rFonts w:ascii="Arial" w:hAnsi="Arial" w:cs="Arial"/>
          <w:sz w:val="22"/>
          <w:szCs w:val="22"/>
        </w:rPr>
      </w:pPr>
    </w:p>
    <w:p w14:paraId="4D5595A4" w14:textId="77777777" w:rsidR="006E29E3" w:rsidRPr="002D1A21" w:rsidRDefault="006E29E3">
      <w:pPr>
        <w:pStyle w:val="Textbody"/>
        <w:spacing w:after="0"/>
        <w:ind w:left="6236"/>
        <w:jc w:val="both"/>
        <w:rPr>
          <w:rFonts w:ascii="Arial" w:hAnsi="Arial" w:cs="Arial"/>
        </w:rPr>
      </w:pPr>
    </w:p>
    <w:p w14:paraId="675A8FB0" w14:textId="77777777" w:rsidR="006E29E3" w:rsidRPr="002D1A21" w:rsidRDefault="006E29E3">
      <w:pPr>
        <w:pStyle w:val="Textbody"/>
        <w:spacing w:after="0"/>
        <w:ind w:left="6236"/>
        <w:jc w:val="both"/>
        <w:rPr>
          <w:rFonts w:ascii="Arial" w:hAnsi="Arial" w:cs="Arial"/>
        </w:rPr>
      </w:pPr>
    </w:p>
    <w:p w14:paraId="18474E59" w14:textId="77777777" w:rsidR="006E29E3" w:rsidRPr="002D1A21" w:rsidRDefault="006E29E3">
      <w:pPr>
        <w:pStyle w:val="Standard"/>
        <w:ind w:left="6236"/>
        <w:jc w:val="both"/>
        <w:rPr>
          <w:rFonts w:ascii="Arial" w:hAnsi="Arial" w:cs="Arial"/>
          <w:sz w:val="22"/>
          <w:szCs w:val="22"/>
        </w:rPr>
      </w:pPr>
    </w:p>
    <w:p w14:paraId="02956608" w14:textId="148AC31F" w:rsidR="006E29E3" w:rsidRPr="002D1A21" w:rsidRDefault="002D1A21">
      <w:pPr>
        <w:pStyle w:val="Standard"/>
        <w:ind w:left="6236"/>
        <w:jc w:val="both"/>
        <w:rPr>
          <w:rFonts w:ascii="Arial" w:hAnsi="Arial" w:cs="Arial"/>
          <w:sz w:val="22"/>
          <w:szCs w:val="22"/>
        </w:rPr>
      </w:pPr>
      <w:r>
        <w:rPr>
          <w:rFonts w:ascii="Arial" w:hAnsi="Arial" w:cs="Arial"/>
          <w:sz w:val="22"/>
          <w:szCs w:val="22"/>
        </w:rPr>
        <w:t>Pierre-André DURAND</w:t>
      </w:r>
      <w:bookmarkStart w:id="5" w:name="_GoBack"/>
      <w:bookmarkEnd w:id="5"/>
    </w:p>
    <w:p w14:paraId="3877EF23" w14:textId="77777777" w:rsidR="006E29E3" w:rsidRDefault="006E29E3">
      <w:pPr>
        <w:pStyle w:val="Standard"/>
        <w:jc w:val="both"/>
        <w:rPr>
          <w:rFonts w:ascii="Arial" w:hAnsi="Arial"/>
          <w:b/>
          <w:bCs/>
          <w:sz w:val="22"/>
          <w:szCs w:val="22"/>
        </w:rPr>
      </w:pPr>
    </w:p>
    <w:p w14:paraId="6C1DEE54" w14:textId="77777777" w:rsidR="003B235B" w:rsidRDefault="003B235B">
      <w:pPr>
        <w:rPr>
          <w:rFonts w:ascii="Arial" w:hAnsi="Arial"/>
          <w:b/>
          <w:bCs/>
          <w:sz w:val="22"/>
          <w:szCs w:val="22"/>
        </w:rPr>
      </w:pPr>
      <w:r>
        <w:rPr>
          <w:rFonts w:ascii="Arial" w:hAnsi="Arial"/>
          <w:b/>
          <w:bCs/>
          <w:sz w:val="22"/>
          <w:szCs w:val="22"/>
        </w:rPr>
        <w:br w:type="page"/>
      </w:r>
    </w:p>
    <w:bookmarkStart w:id="6" w:name="_MON_1695122719"/>
    <w:bookmarkEnd w:id="6"/>
    <w:p w14:paraId="534CEA7A" w14:textId="114B59B9" w:rsidR="003B235B" w:rsidRDefault="006F6700">
      <w:pPr>
        <w:pStyle w:val="Standard"/>
        <w:jc w:val="both"/>
        <w:rPr>
          <w:rFonts w:ascii="Arial" w:hAnsi="Arial"/>
          <w:b/>
          <w:bCs/>
          <w:sz w:val="22"/>
          <w:szCs w:val="22"/>
        </w:rPr>
      </w:pPr>
      <w:r>
        <w:rPr>
          <w:rFonts w:ascii="Arial" w:hAnsi="Arial"/>
          <w:b/>
          <w:bCs/>
          <w:sz w:val="22"/>
          <w:szCs w:val="22"/>
        </w:rPr>
        <w:object w:dxaOrig="10658" w:dyaOrig="13670" w14:anchorId="78F7F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pt;height:711.5pt" o:ole="">
            <v:imagedata r:id="rId10" o:title=""/>
          </v:shape>
          <o:OLEObject Type="Embed" ProgID="Excel.Sheet.8" ShapeID="_x0000_i1026" DrawAspect="Content" ObjectID="_1741443678" r:id="rId11"/>
        </w:object>
      </w:r>
    </w:p>
    <w:p w14:paraId="48CC1BC4" w14:textId="77777777" w:rsidR="003B235B" w:rsidRDefault="003B235B">
      <w:pPr>
        <w:rPr>
          <w:rFonts w:ascii="Arial" w:hAnsi="Arial"/>
          <w:b/>
          <w:bCs/>
          <w:sz w:val="22"/>
          <w:szCs w:val="22"/>
        </w:rPr>
      </w:pPr>
    </w:p>
    <w:bookmarkStart w:id="7" w:name="_MON_1695122985"/>
    <w:bookmarkEnd w:id="7"/>
    <w:p w14:paraId="5952190D" w14:textId="04CD99EE" w:rsidR="003B235B" w:rsidRDefault="006F6700">
      <w:pPr>
        <w:pStyle w:val="Standard"/>
        <w:jc w:val="both"/>
        <w:rPr>
          <w:rFonts w:ascii="Arial" w:hAnsi="Arial"/>
          <w:b/>
          <w:bCs/>
          <w:sz w:val="22"/>
          <w:szCs w:val="22"/>
        </w:rPr>
      </w:pPr>
      <w:r>
        <w:rPr>
          <w:rFonts w:ascii="Arial" w:hAnsi="Arial"/>
          <w:b/>
          <w:bCs/>
          <w:sz w:val="22"/>
          <w:szCs w:val="22"/>
        </w:rPr>
        <w:object w:dxaOrig="10574" w:dyaOrig="12943" w14:anchorId="5C7C5E45">
          <v:shape id="_x0000_i1027" type="#_x0000_t75" style="width:528pt;height:647pt" o:ole="">
            <v:imagedata r:id="rId12" o:title=""/>
          </v:shape>
          <o:OLEObject Type="Embed" ProgID="Excel.Sheet.8" ShapeID="_x0000_i1027" DrawAspect="Content" ObjectID="_1741443679" r:id="rId13"/>
        </w:object>
      </w:r>
    </w:p>
    <w:p w14:paraId="3D97E250" w14:textId="77777777" w:rsidR="003B235B" w:rsidRPr="003B235B" w:rsidRDefault="003B235B" w:rsidP="003B235B"/>
    <w:bookmarkStart w:id="8" w:name="_MON_1695123244"/>
    <w:bookmarkEnd w:id="8"/>
    <w:p w14:paraId="06D1E1B2" w14:textId="61D4D9DE" w:rsidR="00510B2E" w:rsidRDefault="00BC71FF" w:rsidP="003B235B">
      <w:pPr>
        <w:tabs>
          <w:tab w:val="left" w:pos="1995"/>
        </w:tabs>
      </w:pPr>
      <w:r>
        <w:object w:dxaOrig="10432" w:dyaOrig="13552" w14:anchorId="2A396BBD">
          <v:shape id="_x0000_i1028" type="#_x0000_t75" style="width:520.5pt;height:677pt" o:ole="">
            <v:imagedata r:id="rId14" o:title=""/>
          </v:shape>
          <o:OLEObject Type="Embed" ProgID="Excel.Sheet.8" ShapeID="_x0000_i1028" DrawAspect="Content" ObjectID="_1741443680" r:id="rId15"/>
        </w:object>
      </w:r>
      <w:bookmarkStart w:id="9" w:name="_MON_1695123845"/>
      <w:bookmarkEnd w:id="9"/>
      <w:r>
        <w:object w:dxaOrig="10591" w:dyaOrig="13670" w14:anchorId="77E6EFFF">
          <v:shape id="_x0000_i1029" type="#_x0000_t75" style="width:529.5pt;height:683pt" o:ole="">
            <v:imagedata r:id="rId16" o:title=""/>
          </v:shape>
          <o:OLEObject Type="Embed" ProgID="Excel.Sheet.8" ShapeID="_x0000_i1029" DrawAspect="Content" ObjectID="_1741443681" r:id="rId17"/>
        </w:object>
      </w:r>
      <w:bookmarkStart w:id="10" w:name="_MON_1695124097"/>
      <w:bookmarkEnd w:id="10"/>
      <w:r w:rsidR="00F346E6">
        <w:object w:dxaOrig="10447" w:dyaOrig="13670" w14:anchorId="71920EA2">
          <v:shape id="_x0000_i1030" type="#_x0000_t75" style="width:521.5pt;height:683pt" o:ole="">
            <v:imagedata r:id="rId18" o:title=""/>
          </v:shape>
          <o:OLEObject Type="Embed" ProgID="Excel.Sheet.8" ShapeID="_x0000_i1030" DrawAspect="Content" ObjectID="_1741443682" r:id="rId19"/>
        </w:object>
      </w:r>
      <w:bookmarkStart w:id="11" w:name="_MON_1695124202"/>
      <w:bookmarkEnd w:id="11"/>
      <w:r w:rsidR="00697AC4">
        <w:object w:dxaOrig="10235" w:dyaOrig="13670" w14:anchorId="0B484694">
          <v:shape id="_x0000_i1031" type="#_x0000_t75" style="width:512pt;height:683pt" o:ole="">
            <v:imagedata r:id="rId20" o:title=""/>
          </v:shape>
          <o:OLEObject Type="Embed" ProgID="Excel.Sheet.8" ShapeID="_x0000_i1031" DrawAspect="Content" ObjectID="_1741443683" r:id="rId21"/>
        </w:object>
      </w:r>
      <w:bookmarkStart w:id="12" w:name="_MON_1695124293"/>
      <w:bookmarkEnd w:id="12"/>
      <w:r w:rsidR="00503EE3">
        <w:object w:dxaOrig="10639" w:dyaOrig="13670" w14:anchorId="6EC85AA1">
          <v:shape id="_x0000_i1032" type="#_x0000_t75" style="width:532pt;height:683pt" o:ole="">
            <v:imagedata r:id="rId22" o:title=""/>
          </v:shape>
          <o:OLEObject Type="Embed" ProgID="Excel.Sheet.8" ShapeID="_x0000_i1032" DrawAspect="Content" ObjectID="_1741443684" r:id="rId23"/>
        </w:object>
      </w:r>
      <w:bookmarkStart w:id="13" w:name="_MON_1695124378"/>
      <w:bookmarkEnd w:id="13"/>
      <w:r w:rsidR="00503EE3">
        <w:object w:dxaOrig="10396" w:dyaOrig="9895" w14:anchorId="1749BB8A">
          <v:shape id="_x0000_i1033" type="#_x0000_t75" style="width:520pt;height:495pt" o:ole="">
            <v:imagedata r:id="rId24" o:title=""/>
          </v:shape>
          <o:OLEObject Type="Embed" ProgID="Excel.Sheet.8" ShapeID="_x0000_i1033" DrawAspect="Content" ObjectID="_1741443685" r:id="rId25"/>
        </w:object>
      </w:r>
    </w:p>
    <w:p w14:paraId="3CCC19D8" w14:textId="77777777" w:rsidR="00510B2E" w:rsidRDefault="00510B2E" w:rsidP="003B235B">
      <w:pPr>
        <w:tabs>
          <w:tab w:val="left" w:pos="1995"/>
        </w:tabs>
      </w:pPr>
    </w:p>
    <w:p w14:paraId="7D084570" w14:textId="77777777" w:rsidR="00510B2E" w:rsidRDefault="00510B2E" w:rsidP="003B235B">
      <w:pPr>
        <w:tabs>
          <w:tab w:val="left" w:pos="1995"/>
        </w:tabs>
      </w:pPr>
    </w:p>
    <w:p w14:paraId="415CCEF3" w14:textId="77777777" w:rsidR="00510B2E" w:rsidRDefault="00510B2E" w:rsidP="003B235B">
      <w:pPr>
        <w:tabs>
          <w:tab w:val="left" w:pos="1995"/>
        </w:tabs>
      </w:pPr>
    </w:p>
    <w:p w14:paraId="207C2475" w14:textId="77777777" w:rsidR="00510B2E" w:rsidRDefault="00510B2E" w:rsidP="003B235B">
      <w:pPr>
        <w:tabs>
          <w:tab w:val="left" w:pos="1995"/>
        </w:tabs>
      </w:pPr>
    </w:p>
    <w:bookmarkStart w:id="14" w:name="_MON_1695124491"/>
    <w:bookmarkEnd w:id="14"/>
    <w:p w14:paraId="558F70B9" w14:textId="62A3416B" w:rsidR="0022444F" w:rsidRDefault="00503EE3" w:rsidP="003B235B">
      <w:pPr>
        <w:tabs>
          <w:tab w:val="left" w:pos="1995"/>
        </w:tabs>
      </w:pPr>
      <w:r>
        <w:object w:dxaOrig="10350" w:dyaOrig="13670" w14:anchorId="02AC6A17">
          <v:shape id="_x0000_i1034" type="#_x0000_t75" style="width:518pt;height:683pt" o:ole="">
            <v:imagedata r:id="rId26" o:title=""/>
          </v:shape>
          <o:OLEObject Type="Embed" ProgID="Excel.Sheet.8" ShapeID="_x0000_i1034" DrawAspect="Content" ObjectID="_1741443686" r:id="rId27"/>
        </w:object>
      </w:r>
      <w:bookmarkStart w:id="15" w:name="_MON_1695124862"/>
      <w:bookmarkEnd w:id="15"/>
      <w:r>
        <w:object w:dxaOrig="10091" w:dyaOrig="13670" w14:anchorId="2B6E9660">
          <v:shape id="_x0000_i1035" type="#_x0000_t75" style="width:504.5pt;height:683pt" o:ole="">
            <v:imagedata r:id="rId28" o:title=""/>
          </v:shape>
          <o:OLEObject Type="Embed" ProgID="Excel.Sheet.8" ShapeID="_x0000_i1035" DrawAspect="Content" ObjectID="_1741443687" r:id="rId29"/>
        </w:object>
      </w:r>
      <w:bookmarkStart w:id="16" w:name="_MON_1695124966"/>
      <w:bookmarkEnd w:id="16"/>
      <w:r w:rsidR="00472CC2">
        <w:object w:dxaOrig="10303" w:dyaOrig="13670" w14:anchorId="4C8BA630">
          <v:shape id="_x0000_i1036" type="#_x0000_t75" style="width:515pt;height:683pt" o:ole="">
            <v:imagedata r:id="rId30" o:title=""/>
          </v:shape>
          <o:OLEObject Type="Embed" ProgID="Excel.Sheet.8" ShapeID="_x0000_i1036" DrawAspect="Content" ObjectID="_1741443688" r:id="rId31"/>
        </w:object>
      </w:r>
      <w:bookmarkStart w:id="17" w:name="_MON_1695125055"/>
      <w:bookmarkEnd w:id="17"/>
      <w:r w:rsidR="00AB7ABE">
        <w:object w:dxaOrig="9897" w:dyaOrig="13670" w14:anchorId="24734A98">
          <v:shape id="_x0000_i1037" type="#_x0000_t75" style="width:495pt;height:683pt" o:ole="">
            <v:imagedata r:id="rId32" o:title=""/>
          </v:shape>
          <o:OLEObject Type="Embed" ProgID="Excel.Sheet.8" ShapeID="_x0000_i1037" DrawAspect="Content" ObjectID="_1741443689" r:id="rId33"/>
        </w:object>
      </w:r>
      <w:bookmarkStart w:id="18" w:name="_MON_1695125403"/>
      <w:bookmarkEnd w:id="18"/>
      <w:r w:rsidR="00AB7ABE">
        <w:object w:dxaOrig="10173" w:dyaOrig="13670" w14:anchorId="760163CF">
          <v:shape id="_x0000_i1038" type="#_x0000_t75" style="width:508.5pt;height:683pt" o:ole="">
            <v:imagedata r:id="rId34" o:title=""/>
          </v:shape>
          <o:OLEObject Type="Embed" ProgID="Excel.Sheet.8" ShapeID="_x0000_i1038" DrawAspect="Content" ObjectID="_1741443690" r:id="rId35"/>
        </w:object>
      </w:r>
      <w:bookmarkStart w:id="19" w:name="_MON_1695125638"/>
      <w:bookmarkEnd w:id="19"/>
      <w:r w:rsidR="00AB7ABE">
        <w:object w:dxaOrig="10591" w:dyaOrig="13670" w14:anchorId="2E5EFE0D">
          <v:shape id="_x0000_i1039" type="#_x0000_t75" style="width:529.5pt;height:683pt" o:ole="">
            <v:imagedata r:id="rId36" o:title=""/>
          </v:shape>
          <o:OLEObject Type="Embed" ProgID="Excel.Sheet.8" ShapeID="_x0000_i1039" DrawAspect="Content" ObjectID="_1741443691" r:id="rId37"/>
        </w:object>
      </w:r>
      <w:bookmarkStart w:id="20" w:name="_MON_1695125756"/>
      <w:bookmarkEnd w:id="20"/>
      <w:r w:rsidR="00AB7ABE">
        <w:object w:dxaOrig="10255" w:dyaOrig="8442" w14:anchorId="0D450A53">
          <v:shape id="_x0000_i1040" type="#_x0000_t75" style="width:513pt;height:422pt" o:ole="">
            <v:imagedata r:id="rId38" o:title=""/>
          </v:shape>
          <o:OLEObject Type="Embed" ProgID="Excel.Sheet.8" ShapeID="_x0000_i1040" DrawAspect="Content" ObjectID="_1741443692" r:id="rId39"/>
        </w:object>
      </w:r>
    </w:p>
    <w:p w14:paraId="7AE44956" w14:textId="77777777" w:rsidR="0022444F" w:rsidRDefault="0022444F">
      <w:r>
        <w:br w:type="page"/>
      </w:r>
    </w:p>
    <w:bookmarkStart w:id="21" w:name="_MON_1695126050"/>
    <w:bookmarkEnd w:id="21"/>
    <w:p w14:paraId="22DE6A2C" w14:textId="61D8E0A6" w:rsidR="006E29E3" w:rsidRPr="003B235B" w:rsidRDefault="00AB7ABE" w:rsidP="003B235B">
      <w:pPr>
        <w:tabs>
          <w:tab w:val="left" w:pos="1995"/>
        </w:tabs>
      </w:pPr>
      <w:r>
        <w:object w:dxaOrig="10655" w:dyaOrig="13670" w14:anchorId="2CA9BE36">
          <v:shape id="_x0000_i1041" type="#_x0000_t75" style="width:533pt;height:683pt" o:ole="">
            <v:imagedata r:id="rId40" o:title=""/>
          </v:shape>
          <o:OLEObject Type="Embed" ProgID="Excel.Sheet.8" ShapeID="_x0000_i1041" DrawAspect="Content" ObjectID="_1741443693" r:id="rId41"/>
        </w:object>
      </w:r>
      <w:bookmarkStart w:id="22" w:name="_MON_1695126171"/>
      <w:bookmarkEnd w:id="22"/>
      <w:r w:rsidR="002D1A21">
        <w:pict w14:anchorId="06F2EFF8">
          <v:shape id="_x0000_i1042" type="#_x0000_t75" style="width:499.5pt;height:683pt">
            <v:imagedata r:id="rId42" o:title=""/>
          </v:shape>
        </w:pict>
      </w:r>
      <w:bookmarkStart w:id="23" w:name="_MON_1695126246"/>
      <w:bookmarkEnd w:id="23"/>
      <w:r w:rsidR="002D1A21">
        <w:pict w14:anchorId="30ECA21C">
          <v:shape id="_x0000_i1043" type="#_x0000_t75" style="width:540pt;height:683pt">
            <v:imagedata r:id="rId43" o:title=""/>
          </v:shape>
        </w:pict>
      </w:r>
      <w:bookmarkStart w:id="24" w:name="_MON_1695126612"/>
      <w:bookmarkEnd w:id="24"/>
      <w:r w:rsidR="006C6BEA">
        <w:object w:dxaOrig="10689" w:dyaOrig="13670" w14:anchorId="0113DBAD">
          <v:shape id="_x0000_i1044" type="#_x0000_t75" style="width:534pt;height:683pt" o:ole="">
            <v:imagedata r:id="rId44" o:title=""/>
          </v:shape>
          <o:OLEObject Type="Embed" ProgID="Excel.Sheet.8" ShapeID="_x0000_i1044" DrawAspect="Content" ObjectID="_1741443694" r:id="rId45"/>
        </w:object>
      </w:r>
      <w:bookmarkStart w:id="25" w:name="_MON_1695126725"/>
      <w:bookmarkEnd w:id="25"/>
      <w:r w:rsidR="006C6BEA">
        <w:object w:dxaOrig="10655" w:dyaOrig="13670" w14:anchorId="71DF249B">
          <v:shape id="_x0000_i1045" type="#_x0000_t75" style="width:533pt;height:683pt" o:ole="">
            <v:imagedata r:id="rId46" o:title=""/>
          </v:shape>
          <o:OLEObject Type="Embed" ProgID="Excel.Sheet.8" ShapeID="_x0000_i1045" DrawAspect="Content" ObjectID="_1741443695" r:id="rId47"/>
        </w:object>
      </w:r>
      <w:bookmarkStart w:id="26" w:name="_MON_1695126835"/>
      <w:bookmarkEnd w:id="26"/>
      <w:r w:rsidR="00057CD2">
        <w:object w:dxaOrig="10545" w:dyaOrig="13670" w14:anchorId="188C4752">
          <v:shape id="_x0000_i1046" type="#_x0000_t75" style="width:528pt;height:683pt" o:ole="">
            <v:imagedata r:id="rId48" o:title=""/>
          </v:shape>
          <o:OLEObject Type="Embed" ProgID="Excel.Sheet.8" ShapeID="_x0000_i1046" DrawAspect="Content" ObjectID="_1741443696" r:id="rId49"/>
        </w:object>
      </w:r>
      <w:bookmarkStart w:id="27" w:name="_MON_1695127009"/>
      <w:bookmarkEnd w:id="27"/>
      <w:r w:rsidR="00057CD2">
        <w:object w:dxaOrig="10624" w:dyaOrig="13670" w14:anchorId="5898E14A">
          <v:shape id="_x0000_i1047" type="#_x0000_t75" style="width:531pt;height:683pt" o:ole="">
            <v:imagedata r:id="rId50" o:title=""/>
          </v:shape>
          <o:OLEObject Type="Embed" ProgID="Excel.Sheet.8" ShapeID="_x0000_i1047" DrawAspect="Content" ObjectID="_1741443697" r:id="rId51"/>
        </w:object>
      </w:r>
      <w:bookmarkStart w:id="28" w:name="_MON_1695127188"/>
      <w:bookmarkEnd w:id="28"/>
      <w:r w:rsidR="00057CD2">
        <w:object w:dxaOrig="10528" w:dyaOrig="13670" w14:anchorId="7C07BF2D">
          <v:shape id="_x0000_i1048" type="#_x0000_t75" style="width:526.5pt;height:683pt" o:ole="">
            <v:imagedata r:id="rId52" o:title=""/>
          </v:shape>
          <o:OLEObject Type="Embed" ProgID="Excel.Sheet.8" ShapeID="_x0000_i1048" DrawAspect="Content" ObjectID="_1741443698" r:id="rId53"/>
        </w:object>
      </w:r>
      <w:bookmarkStart w:id="29" w:name="_MON_1695127271"/>
      <w:bookmarkEnd w:id="29"/>
      <w:r w:rsidR="002D1A21">
        <w:pict w14:anchorId="503E25BF">
          <v:shape id="_x0000_i1049" type="#_x0000_t75" style="width:534pt;height:683pt">
            <v:imagedata r:id="rId54" o:title=""/>
          </v:shape>
        </w:pict>
      </w:r>
      <w:bookmarkStart w:id="30" w:name="_MON_1695127668"/>
      <w:bookmarkEnd w:id="30"/>
      <w:r w:rsidR="008A47DA">
        <w:object w:dxaOrig="10497" w:dyaOrig="13670" w14:anchorId="7B3AE8B9">
          <v:shape id="_x0000_i1050" type="#_x0000_t75" style="width:524.5pt;height:683pt" o:ole="">
            <v:imagedata r:id="rId55" o:title=""/>
          </v:shape>
          <o:OLEObject Type="Embed" ProgID="Excel.Sheet.8" ShapeID="_x0000_i1050" DrawAspect="Content" ObjectID="_1741443699" r:id="rId56"/>
        </w:object>
      </w:r>
      <w:bookmarkStart w:id="31" w:name="_MON_1695127813"/>
      <w:bookmarkEnd w:id="31"/>
      <w:r w:rsidR="001D4FF8">
        <w:object w:dxaOrig="10396" w:dyaOrig="13670" w14:anchorId="1DFF0755">
          <v:shape id="_x0000_i1051" type="#_x0000_t75" style="width:520pt;height:683pt" o:ole="">
            <v:imagedata r:id="rId57" o:title=""/>
          </v:shape>
          <o:OLEObject Type="Embed" ProgID="Excel.Sheet.8" ShapeID="_x0000_i1051" DrawAspect="Content" ObjectID="_1741443700" r:id="rId58"/>
        </w:object>
      </w:r>
      <w:bookmarkStart w:id="32" w:name="_MON_1695128064"/>
      <w:bookmarkEnd w:id="32"/>
      <w:r w:rsidR="001D4FF8">
        <w:object w:dxaOrig="10125" w:dyaOrig="13670" w14:anchorId="5BC900C0">
          <v:shape id="_x0000_i1052" type="#_x0000_t75" style="width:506.5pt;height:683pt" o:ole="">
            <v:imagedata r:id="rId59" o:title=""/>
          </v:shape>
          <o:OLEObject Type="Embed" ProgID="Excel.Sheet.8" ShapeID="_x0000_i1052" DrawAspect="Content" ObjectID="_1741443701" r:id="rId60"/>
        </w:object>
      </w:r>
      <w:bookmarkStart w:id="33" w:name="_MON_1695128127"/>
      <w:bookmarkEnd w:id="33"/>
      <w:r w:rsidR="001D4FF8">
        <w:object w:dxaOrig="10319" w:dyaOrig="13670" w14:anchorId="492E9A6B">
          <v:shape id="_x0000_i1053" type="#_x0000_t75" style="width:516pt;height:683pt" o:ole="">
            <v:imagedata r:id="rId61" o:title=""/>
          </v:shape>
          <o:OLEObject Type="Embed" ProgID="Excel.Sheet.8" ShapeID="_x0000_i1053" DrawAspect="Content" ObjectID="_1741443702" r:id="rId62"/>
        </w:object>
      </w:r>
      <w:bookmarkStart w:id="34" w:name="_MON_1695128590"/>
      <w:bookmarkEnd w:id="34"/>
      <w:r w:rsidR="001D4FF8">
        <w:object w:dxaOrig="10463" w:dyaOrig="13670" w14:anchorId="1BE6DE74">
          <v:shape id="_x0000_i1054" type="#_x0000_t75" style="width:521pt;height:683pt" o:ole="">
            <v:imagedata r:id="rId63" o:title=""/>
          </v:shape>
          <o:OLEObject Type="Embed" ProgID="Excel.Sheet.8" ShapeID="_x0000_i1054" DrawAspect="Content" ObjectID="_1741443703" r:id="rId64"/>
        </w:object>
      </w:r>
      <w:bookmarkStart w:id="35" w:name="_MON_1695128659"/>
      <w:bookmarkEnd w:id="35"/>
      <w:r w:rsidR="001D4FF8">
        <w:object w:dxaOrig="10269" w:dyaOrig="13670" w14:anchorId="02F0CAFB">
          <v:shape id="_x0000_i1055" type="#_x0000_t75" style="width:512.5pt;height:683pt" o:ole="">
            <v:imagedata r:id="rId65" o:title=""/>
          </v:shape>
          <o:OLEObject Type="Embed" ProgID="Excel.Sheet.8" ShapeID="_x0000_i1055" DrawAspect="Content" ObjectID="_1741443704" r:id="rId66"/>
        </w:object>
      </w:r>
      <w:bookmarkStart w:id="36" w:name="_MON_1695128767"/>
      <w:bookmarkEnd w:id="36"/>
      <w:r w:rsidR="00621F29">
        <w:object w:dxaOrig="10175" w:dyaOrig="13670" w14:anchorId="6AA7B38E">
          <v:shape id="_x0000_i1056" type="#_x0000_t75" style="width:509pt;height:683pt" o:ole="">
            <v:imagedata r:id="rId67" o:title=""/>
          </v:shape>
          <o:OLEObject Type="Embed" ProgID="Excel.Sheet.8" ShapeID="_x0000_i1056" DrawAspect="Content" ObjectID="_1741443705" r:id="rId68"/>
        </w:object>
      </w:r>
      <w:bookmarkStart w:id="37" w:name="_MON_1695128935"/>
      <w:bookmarkEnd w:id="37"/>
      <w:r w:rsidR="007E06CA">
        <w:object w:dxaOrig="10445" w:dyaOrig="13670" w14:anchorId="3EA04D84">
          <v:shape id="_x0000_i1057" type="#_x0000_t75" style="width:522.5pt;height:683pt" o:ole="">
            <v:imagedata r:id="rId69" o:title=""/>
          </v:shape>
          <o:OLEObject Type="Embed" ProgID="Excel.Sheet.8" ShapeID="_x0000_i1057" DrawAspect="Content" ObjectID="_1741443706" r:id="rId70"/>
        </w:object>
      </w:r>
    </w:p>
    <w:sectPr w:rsidR="006E29E3" w:rsidRPr="003B235B">
      <w:footerReference w:type="default" r:id="rId71"/>
      <w:pgSz w:w="11906" w:h="16838"/>
      <w:pgMar w:top="964" w:right="964" w:bottom="2098" w:left="964" w:header="720"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80A1" w14:textId="77777777" w:rsidR="00A060BC" w:rsidRDefault="00A060BC">
      <w:r>
        <w:separator/>
      </w:r>
    </w:p>
  </w:endnote>
  <w:endnote w:type="continuationSeparator" w:id="0">
    <w:p w14:paraId="79EEABC2" w14:textId="77777777" w:rsidR="00A060BC" w:rsidRDefault="00A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Century">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C941" w14:textId="65B3CFFD" w:rsidR="002E576D" w:rsidRDefault="00AE62AD">
    <w:pPr>
      <w:pStyle w:val="Pieddepage"/>
      <w:rPr>
        <w:rFonts w:ascii="Arial" w:hAnsi="Arial"/>
        <w:sz w:val="16"/>
        <w:szCs w:val="16"/>
      </w:rPr>
    </w:pP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2D1A21">
      <w:rPr>
        <w:rFonts w:ascii="Arial" w:hAnsi="Arial"/>
        <w:noProof/>
        <w:sz w:val="16"/>
        <w:szCs w:val="16"/>
      </w:rPr>
      <w:t>2</w:t>
    </w:r>
    <w:r>
      <w:rPr>
        <w:rFonts w:ascii="Arial" w:hAnsi="Arial"/>
        <w:sz w:val="16"/>
        <w:szCs w:val="16"/>
      </w:rPr>
      <w:fldChar w:fldCharType="end"/>
    </w:r>
    <w:r>
      <w:rPr>
        <w:rFonts w:ascii="Arial" w:hAnsi="Arial"/>
        <w:sz w:val="16"/>
        <w:szCs w:val="16"/>
      </w:rPr>
      <w:t>/3</w:t>
    </w:r>
    <w:r w:rsidR="00E3261D">
      <w:rPr>
        <w:rFonts w:ascii="Arial" w:hAnsi="Arial"/>
        <w:sz w:val="16"/>
        <w:szCs w:val="16"/>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62D2" w14:textId="77777777" w:rsidR="00A060BC" w:rsidRDefault="00A060BC">
      <w:r>
        <w:rPr>
          <w:color w:val="000000"/>
        </w:rPr>
        <w:separator/>
      </w:r>
    </w:p>
  </w:footnote>
  <w:footnote w:type="continuationSeparator" w:id="0">
    <w:p w14:paraId="05F6299F" w14:textId="77777777" w:rsidR="00A060BC" w:rsidRDefault="00A06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E3"/>
    <w:rsid w:val="00047EAD"/>
    <w:rsid w:val="00057CD2"/>
    <w:rsid w:val="001110B5"/>
    <w:rsid w:val="00163AB8"/>
    <w:rsid w:val="00164567"/>
    <w:rsid w:val="001D4FF8"/>
    <w:rsid w:val="00220872"/>
    <w:rsid w:val="0022444F"/>
    <w:rsid w:val="002276DF"/>
    <w:rsid w:val="00296DC0"/>
    <w:rsid w:val="002D1A21"/>
    <w:rsid w:val="002E576D"/>
    <w:rsid w:val="003107F6"/>
    <w:rsid w:val="003B235B"/>
    <w:rsid w:val="00403590"/>
    <w:rsid w:val="004645EB"/>
    <w:rsid w:val="00472CC2"/>
    <w:rsid w:val="004975BA"/>
    <w:rsid w:val="004D3ADD"/>
    <w:rsid w:val="00503EE3"/>
    <w:rsid w:val="00510B2E"/>
    <w:rsid w:val="00521F5B"/>
    <w:rsid w:val="0054388C"/>
    <w:rsid w:val="005B174E"/>
    <w:rsid w:val="00621F29"/>
    <w:rsid w:val="00697AC4"/>
    <w:rsid w:val="006A0C9E"/>
    <w:rsid w:val="006C6BEA"/>
    <w:rsid w:val="006E29E3"/>
    <w:rsid w:val="006F6700"/>
    <w:rsid w:val="00713C32"/>
    <w:rsid w:val="00752A8E"/>
    <w:rsid w:val="00757F65"/>
    <w:rsid w:val="007710A4"/>
    <w:rsid w:val="007A5339"/>
    <w:rsid w:val="007E06CA"/>
    <w:rsid w:val="007F077D"/>
    <w:rsid w:val="007F4AE5"/>
    <w:rsid w:val="00880A57"/>
    <w:rsid w:val="008A47DA"/>
    <w:rsid w:val="008C23FC"/>
    <w:rsid w:val="00913878"/>
    <w:rsid w:val="00962CDF"/>
    <w:rsid w:val="009A5049"/>
    <w:rsid w:val="00A02569"/>
    <w:rsid w:val="00A060BC"/>
    <w:rsid w:val="00A108F9"/>
    <w:rsid w:val="00A219BC"/>
    <w:rsid w:val="00AB7ABE"/>
    <w:rsid w:val="00AE62AD"/>
    <w:rsid w:val="00B4165B"/>
    <w:rsid w:val="00BC71FF"/>
    <w:rsid w:val="00BE3A09"/>
    <w:rsid w:val="00CE05CD"/>
    <w:rsid w:val="00E3261D"/>
    <w:rsid w:val="00E66147"/>
    <w:rsid w:val="00E86773"/>
    <w:rsid w:val="00EE7270"/>
    <w:rsid w:val="00F346E6"/>
    <w:rsid w:val="00FF0C78"/>
    <w:rsid w:val="00FF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4552DF1"/>
  <w15:docId w15:val="{FC43F3A3-9BD5-4903-BB1D-4954477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Liberation Serif" w:eastAsia="SimSun" w:hAnsi="Liberation Serif" w:cs="Lucida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989"/>
        <w:tab w:val="right" w:pos="9978"/>
      </w:tabs>
    </w:pPr>
  </w:style>
  <w:style w:type="character" w:customStyle="1" w:styleId="Internetlink">
    <w:name w:val="Internet link"/>
    <w:rPr>
      <w:color w:val="000080"/>
      <w:u w:val="single"/>
    </w:rPr>
  </w:style>
  <w:style w:type="paragraph" w:styleId="En-tte">
    <w:name w:val="header"/>
    <w:basedOn w:val="Normal"/>
    <w:link w:val="En-tteCar"/>
    <w:unhideWhenUsed/>
    <w:rsid w:val="00AE62AD"/>
    <w:pPr>
      <w:tabs>
        <w:tab w:val="center" w:pos="4536"/>
        <w:tab w:val="right" w:pos="9072"/>
      </w:tabs>
    </w:pPr>
    <w:rPr>
      <w:szCs w:val="21"/>
    </w:rPr>
  </w:style>
  <w:style w:type="character" w:customStyle="1" w:styleId="En-tteCar">
    <w:name w:val="En-tête Car"/>
    <w:basedOn w:val="Policepardfaut"/>
    <w:link w:val="En-tte"/>
    <w:uiPriority w:val="99"/>
    <w:rsid w:val="00AE62AD"/>
    <w:rPr>
      <w:szCs w:val="21"/>
    </w:rPr>
  </w:style>
  <w:style w:type="character" w:styleId="Lienhypertexte">
    <w:name w:val="Hyperlink"/>
    <w:basedOn w:val="Policepardfaut"/>
    <w:semiHidden/>
    <w:rsid w:val="00EE7270"/>
    <w:rPr>
      <w:color w:val="0000FF"/>
      <w:u w:val="single"/>
    </w:rPr>
  </w:style>
  <w:style w:type="paragraph" w:styleId="Corpsdetexte">
    <w:name w:val="Body Text"/>
    <w:basedOn w:val="Normal"/>
    <w:link w:val="CorpsdetexteCar"/>
    <w:semiHidden/>
    <w:rsid w:val="00EE7270"/>
    <w:pPr>
      <w:widowControl/>
      <w:autoSpaceDN/>
      <w:jc w:val="both"/>
      <w:textAlignment w:val="auto"/>
    </w:pPr>
    <w:rPr>
      <w:rFonts w:ascii="Arial" w:eastAsia="Times New Roman" w:hAnsi="Arial" w:cs="Arial"/>
      <w:b/>
      <w:kern w:val="0"/>
      <w:sz w:val="22"/>
      <w:szCs w:val="20"/>
      <w:lang w:bidi="ar-SA"/>
    </w:rPr>
  </w:style>
  <w:style w:type="character" w:customStyle="1" w:styleId="CorpsdetexteCar">
    <w:name w:val="Corps de texte Car"/>
    <w:basedOn w:val="Policepardfaut"/>
    <w:link w:val="Corpsdetexte"/>
    <w:semiHidden/>
    <w:rsid w:val="00EE7270"/>
    <w:rPr>
      <w:rFonts w:ascii="Arial" w:eastAsia="Times New Roman" w:hAnsi="Arial" w:cs="Arial"/>
      <w:b/>
      <w:kern w:val="0"/>
      <w:sz w:val="22"/>
      <w:szCs w:val="20"/>
      <w:lang w:bidi="ar-SA"/>
    </w:rPr>
  </w:style>
  <w:style w:type="paragraph" w:customStyle="1" w:styleId="Acte">
    <w:name w:val="Acte"/>
    <w:basedOn w:val="Normal"/>
    <w:next w:val="Normal"/>
    <w:rsid w:val="00EE7270"/>
    <w:pPr>
      <w:keepNext/>
      <w:widowControl/>
      <w:autoSpaceDN/>
      <w:spacing w:before="240" w:after="480"/>
      <w:jc w:val="center"/>
      <w:textAlignment w:val="auto"/>
    </w:pPr>
    <w:rPr>
      <w:rFonts w:ascii="Arial" w:eastAsia="Times New Roman" w:hAnsi="Arial" w:cs="Arial"/>
      <w:b/>
      <w:i/>
      <w:kern w:val="0"/>
      <w:sz w:val="22"/>
      <w:szCs w:val="20"/>
      <w:lang w:bidi="ar-SA"/>
    </w:rPr>
  </w:style>
  <w:style w:type="paragraph" w:customStyle="1" w:styleId="PS">
    <w:name w:val="PS"/>
    <w:rsid w:val="00EE7270"/>
    <w:pPr>
      <w:widowControl/>
      <w:autoSpaceDN/>
      <w:spacing w:line="240" w:lineRule="exact"/>
      <w:jc w:val="both"/>
      <w:textAlignment w:val="auto"/>
    </w:pPr>
    <w:rPr>
      <w:rFonts w:ascii="ITC Century" w:eastAsia="Times New Roman" w:hAnsi="ITC Century" w:cs="ITC Century"/>
      <w:kern w:val="0"/>
      <w:sz w:val="20"/>
      <w:szCs w:val="20"/>
      <w:lang w:bidi="ar-SA"/>
    </w:rPr>
  </w:style>
  <w:style w:type="paragraph" w:customStyle="1" w:styleId="Adexped1">
    <w:name w:val="Ad exped 1"/>
    <w:basedOn w:val="Normal"/>
    <w:rsid w:val="00EE7270"/>
    <w:pPr>
      <w:widowControl/>
      <w:autoSpaceDN/>
      <w:spacing w:before="400" w:after="120"/>
      <w:textAlignment w:val="auto"/>
    </w:pPr>
    <w:rPr>
      <w:rFonts w:ascii="Arial" w:eastAsia="Times New Roman" w:hAnsi="Arial" w:cs="Arial"/>
      <w:b/>
      <w:bCs/>
      <w:kern w:val="0"/>
      <w:sz w:val="18"/>
      <w:szCs w:val="20"/>
    </w:rPr>
  </w:style>
  <w:style w:type="paragraph" w:customStyle="1" w:styleId="xl31">
    <w:name w:val="xl31"/>
    <w:basedOn w:val="Normal"/>
    <w:rsid w:val="00EE7270"/>
    <w:pPr>
      <w:widowControl/>
      <w:pBdr>
        <w:top w:val="none" w:sz="0" w:space="0" w:color="000000"/>
        <w:left w:val="double" w:sz="6" w:space="0" w:color="000000"/>
        <w:bottom w:val="none" w:sz="0" w:space="0" w:color="000000"/>
        <w:right w:val="single" w:sz="4" w:space="0" w:color="000000"/>
      </w:pBdr>
      <w:autoSpaceDN/>
      <w:spacing w:before="100" w:after="100"/>
      <w:jc w:val="center"/>
      <w:textAlignment w:val="top"/>
    </w:pPr>
    <w:rPr>
      <w:rFonts w:ascii="Arial Unicode MS" w:eastAsia="Arial Unicode MS" w:hAnsi="Arial Unicode MS" w:cs="Arial Unicode MS"/>
      <w:kern w:val="0"/>
    </w:rPr>
  </w:style>
  <w:style w:type="paragraph" w:customStyle="1" w:styleId="western">
    <w:name w:val="western"/>
    <w:basedOn w:val="Normal"/>
    <w:rsid w:val="00EE7270"/>
    <w:pPr>
      <w:widowControl/>
      <w:suppressAutoHyphens w:val="0"/>
      <w:autoSpaceDN/>
      <w:spacing w:before="100" w:beforeAutospacing="1"/>
      <w:jc w:val="both"/>
      <w:textAlignment w:val="auto"/>
    </w:pPr>
    <w:rPr>
      <w:rFonts w:ascii="Arial" w:eastAsia="Times New Roman" w:hAnsi="Arial" w:cs="Arial"/>
      <w:b/>
      <w:bCs/>
      <w:kern w:val="0"/>
      <w:sz w:val="22"/>
      <w:szCs w:val="22"/>
      <w:lang w:eastAsia="fr-FR" w:bidi="ar-SA"/>
    </w:rPr>
  </w:style>
  <w:style w:type="character" w:styleId="Marquedecommentaire">
    <w:name w:val="annotation reference"/>
    <w:basedOn w:val="Policepardfaut"/>
    <w:uiPriority w:val="99"/>
    <w:semiHidden/>
    <w:unhideWhenUsed/>
    <w:rsid w:val="00EE7270"/>
    <w:rPr>
      <w:sz w:val="16"/>
      <w:szCs w:val="16"/>
    </w:rPr>
  </w:style>
  <w:style w:type="paragraph" w:styleId="Commentaire">
    <w:name w:val="annotation text"/>
    <w:basedOn w:val="Normal"/>
    <w:link w:val="CommentaireCar"/>
    <w:uiPriority w:val="99"/>
    <w:semiHidden/>
    <w:unhideWhenUsed/>
    <w:rsid w:val="00EE7270"/>
    <w:pPr>
      <w:widowControl/>
      <w:autoSpaceDN/>
      <w:jc w:val="both"/>
      <w:textAlignment w:val="auto"/>
    </w:pPr>
    <w:rPr>
      <w:rFonts w:ascii="Arial" w:eastAsia="Times New Roman" w:hAnsi="Arial" w:cs="Arial"/>
      <w:kern w:val="0"/>
      <w:sz w:val="20"/>
      <w:szCs w:val="20"/>
      <w:lang w:bidi="ar-SA"/>
    </w:rPr>
  </w:style>
  <w:style w:type="character" w:customStyle="1" w:styleId="CommentaireCar">
    <w:name w:val="Commentaire Car"/>
    <w:basedOn w:val="Policepardfaut"/>
    <w:link w:val="Commentaire"/>
    <w:uiPriority w:val="99"/>
    <w:semiHidden/>
    <w:rsid w:val="00EE7270"/>
    <w:rPr>
      <w:rFonts w:ascii="Arial" w:eastAsia="Times New Roman" w:hAnsi="Arial" w:cs="Arial"/>
      <w:kern w:val="0"/>
      <w:sz w:val="20"/>
      <w:szCs w:val="20"/>
      <w:lang w:bidi="ar-SA"/>
    </w:rPr>
  </w:style>
  <w:style w:type="paragraph" w:styleId="Textedebulles">
    <w:name w:val="Balloon Text"/>
    <w:basedOn w:val="Normal"/>
    <w:link w:val="TextedebullesCar"/>
    <w:uiPriority w:val="99"/>
    <w:semiHidden/>
    <w:unhideWhenUsed/>
    <w:rsid w:val="00EE7270"/>
    <w:rPr>
      <w:rFonts w:ascii="Segoe UI" w:hAnsi="Segoe UI"/>
      <w:sz w:val="18"/>
      <w:szCs w:val="16"/>
    </w:rPr>
  </w:style>
  <w:style w:type="character" w:customStyle="1" w:styleId="TextedebullesCar">
    <w:name w:val="Texte de bulles Car"/>
    <w:basedOn w:val="Policepardfaut"/>
    <w:link w:val="Textedebulles"/>
    <w:uiPriority w:val="99"/>
    <w:semiHidden/>
    <w:rsid w:val="00EE7270"/>
    <w:rPr>
      <w:rFonts w:ascii="Segoe UI" w:hAnsi="Segoe UI"/>
      <w:sz w:val="18"/>
      <w:szCs w:val="16"/>
    </w:rPr>
  </w:style>
  <w:style w:type="paragraph" w:styleId="Objetducommentaire">
    <w:name w:val="annotation subject"/>
    <w:basedOn w:val="Commentaire"/>
    <w:next w:val="Commentaire"/>
    <w:link w:val="ObjetducommentaireCar"/>
    <w:uiPriority w:val="99"/>
    <w:semiHidden/>
    <w:unhideWhenUsed/>
    <w:rsid w:val="00A02569"/>
    <w:pPr>
      <w:widowControl w:val="0"/>
      <w:autoSpaceDN w:val="0"/>
      <w:jc w:val="left"/>
      <w:textAlignment w:val="baseline"/>
    </w:pPr>
    <w:rPr>
      <w:rFonts w:ascii="Liberation Serif" w:eastAsia="SimSun" w:hAnsi="Liberation Serif" w:cs="Mangal"/>
      <w:b/>
      <w:bCs/>
      <w:kern w:val="3"/>
      <w:szCs w:val="18"/>
      <w:lang w:bidi="hi-IN"/>
    </w:rPr>
  </w:style>
  <w:style w:type="character" w:customStyle="1" w:styleId="ObjetducommentaireCar">
    <w:name w:val="Objet du commentaire Car"/>
    <w:basedOn w:val="CommentaireCar"/>
    <w:link w:val="Objetducommentaire"/>
    <w:uiPriority w:val="99"/>
    <w:semiHidden/>
    <w:rsid w:val="00A02569"/>
    <w:rPr>
      <w:rFonts w:ascii="Arial" w:eastAsia="Times New Roman" w:hAnsi="Arial" w:cs="Arial"/>
      <w:b/>
      <w:bCs/>
      <w:kern w:val="0"/>
      <w:sz w:val="20"/>
      <w:szCs w:val="18"/>
      <w:lang w:bidi="ar-SA"/>
    </w:rPr>
  </w:style>
  <w:style w:type="paragraph" w:styleId="NormalWeb">
    <w:name w:val="Normal (Web)"/>
    <w:basedOn w:val="Normal"/>
    <w:uiPriority w:val="99"/>
    <w:semiHidden/>
    <w:unhideWhenUsed/>
    <w:rsid w:val="002D1A21"/>
    <w:pPr>
      <w:widowControl/>
      <w:suppressAutoHyphens w:val="0"/>
      <w:autoSpaceDN/>
      <w:spacing w:before="100" w:beforeAutospacing="1" w:after="142" w:line="288" w:lineRule="auto"/>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Feuille_Microsoft_Excel_97-20035.xls"/><Relationship Id="rId42" Type="http://schemas.openxmlformats.org/officeDocument/2006/relationships/image" Target="media/image18.emf"/><Relationship Id="rId47" Type="http://schemas.openxmlformats.org/officeDocument/2006/relationships/oleObject" Target="embeddings/Feuille_Microsoft_Excel_97-200317.xls"/><Relationship Id="rId63" Type="http://schemas.openxmlformats.org/officeDocument/2006/relationships/image" Target="media/image30.emf"/><Relationship Id="rId68" Type="http://schemas.openxmlformats.org/officeDocument/2006/relationships/oleObject" Target="embeddings/Feuille_Microsoft_Excel_97-200327.xls"/><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oleObject" Target="embeddings/Feuille_Microsoft_Excel_97-20039.xls"/><Relationship Id="rId11" Type="http://schemas.openxmlformats.org/officeDocument/2006/relationships/oleObject" Target="embeddings/Feuille_Microsoft_Excel_97-2003.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Feuille_Microsoft_Excel_97-200313.xls"/><Relationship Id="rId40" Type="http://schemas.openxmlformats.org/officeDocument/2006/relationships/image" Target="media/image17.emf"/><Relationship Id="rId45" Type="http://schemas.openxmlformats.org/officeDocument/2006/relationships/oleObject" Target="embeddings/Feuille_Microsoft_Excel_97-200316.xls"/><Relationship Id="rId53" Type="http://schemas.openxmlformats.org/officeDocument/2006/relationships/oleObject" Target="embeddings/Feuille_Microsoft_Excel_97-200320.xls"/><Relationship Id="rId58" Type="http://schemas.openxmlformats.org/officeDocument/2006/relationships/oleObject" Target="embeddings/Feuille_Microsoft_Excel_97-200322.xls"/><Relationship Id="rId66" Type="http://schemas.openxmlformats.org/officeDocument/2006/relationships/oleObject" Target="embeddings/Feuille_Microsoft_Excel_97-200326.xls"/><Relationship Id="rId5" Type="http://schemas.openxmlformats.org/officeDocument/2006/relationships/footnotes" Target="footnotes.xml"/><Relationship Id="rId61" Type="http://schemas.openxmlformats.org/officeDocument/2006/relationships/image" Target="media/image29.emf"/><Relationship Id="rId19" Type="http://schemas.openxmlformats.org/officeDocument/2006/relationships/oleObject" Target="embeddings/Feuille_Microsoft_Excel_97-20034.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Feuille_Microsoft_Excel_97-20038.xls"/><Relationship Id="rId30" Type="http://schemas.openxmlformats.org/officeDocument/2006/relationships/image" Target="media/image12.emf"/><Relationship Id="rId35" Type="http://schemas.openxmlformats.org/officeDocument/2006/relationships/oleObject" Target="embeddings/Feuille_Microsoft_Excel_97-200312.xls"/><Relationship Id="rId43" Type="http://schemas.openxmlformats.org/officeDocument/2006/relationships/image" Target="media/image19.emf"/><Relationship Id="rId48" Type="http://schemas.openxmlformats.org/officeDocument/2006/relationships/image" Target="media/image22.emf"/><Relationship Id="rId56" Type="http://schemas.openxmlformats.org/officeDocument/2006/relationships/oleObject" Target="embeddings/Feuille_Microsoft_Excel_97-200321.xls"/><Relationship Id="rId64" Type="http://schemas.openxmlformats.org/officeDocument/2006/relationships/oleObject" Target="embeddings/Feuille_Microsoft_Excel_97-200325.xls"/><Relationship Id="rId69" Type="http://schemas.openxmlformats.org/officeDocument/2006/relationships/image" Target="media/image33.emf"/><Relationship Id="rId8" Type="http://schemas.openxmlformats.org/officeDocument/2006/relationships/hyperlink" Target="https://draaf.occitanie.agriculture.gouv.fr/Situation-sanitaire-en-Occitanie,7062" TargetMode="External"/><Relationship Id="rId51" Type="http://schemas.openxmlformats.org/officeDocument/2006/relationships/oleObject" Target="embeddings/Feuille_Microsoft_Excel_97-200319.xls"/><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Feuille_Microsoft_Excel_97-20033.xls"/><Relationship Id="rId25" Type="http://schemas.openxmlformats.org/officeDocument/2006/relationships/oleObject" Target="embeddings/Feuille_Microsoft_Excel_97-20037.xls"/><Relationship Id="rId33" Type="http://schemas.openxmlformats.org/officeDocument/2006/relationships/oleObject" Target="embeddings/Feuille_Microsoft_Excel_97-200311.xls"/><Relationship Id="rId38" Type="http://schemas.openxmlformats.org/officeDocument/2006/relationships/image" Target="media/image16.emf"/><Relationship Id="rId46" Type="http://schemas.openxmlformats.org/officeDocument/2006/relationships/image" Target="media/image21.emf"/><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image" Target="media/image7.emf"/><Relationship Id="rId41" Type="http://schemas.openxmlformats.org/officeDocument/2006/relationships/oleObject" Target="embeddings/Feuille_Microsoft_Excel_97-200315.xls"/><Relationship Id="rId54" Type="http://schemas.openxmlformats.org/officeDocument/2006/relationships/image" Target="media/image25.emf"/><Relationship Id="rId62" Type="http://schemas.openxmlformats.org/officeDocument/2006/relationships/oleObject" Target="embeddings/Feuille_Microsoft_Excel_97-200324.xls"/><Relationship Id="rId70" Type="http://schemas.openxmlformats.org/officeDocument/2006/relationships/oleObject" Target="embeddings/Feuille_Microsoft_Excel_97-200328.xls"/><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Feuille_Microsoft_Excel_97-20032.xls"/><Relationship Id="rId23" Type="http://schemas.openxmlformats.org/officeDocument/2006/relationships/oleObject" Target="embeddings/Feuille_Microsoft_Excel_97-20036.xls"/><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Feuille_Microsoft_Excel_97-200318.xls"/><Relationship Id="rId57" Type="http://schemas.openxmlformats.org/officeDocument/2006/relationships/image" Target="media/image27.emf"/><Relationship Id="rId10" Type="http://schemas.openxmlformats.org/officeDocument/2006/relationships/image" Target="media/image2.emf"/><Relationship Id="rId31" Type="http://schemas.openxmlformats.org/officeDocument/2006/relationships/oleObject" Target="embeddings/Feuille_Microsoft_Excel_97-200310.xls"/><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oleObject" Target="embeddings/Feuille_Microsoft_Excel_97-200323.xls"/><Relationship Id="rId65" Type="http://schemas.openxmlformats.org/officeDocument/2006/relationships/image" Target="media/image31.e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aaf.occitanie.agriculture.gouv.fr/Traitements-obligatoires" TargetMode="External"/><Relationship Id="rId13" Type="http://schemas.openxmlformats.org/officeDocument/2006/relationships/oleObject" Target="embeddings/Feuille_Microsoft_Excel_97-20031.xls"/><Relationship Id="rId18" Type="http://schemas.openxmlformats.org/officeDocument/2006/relationships/image" Target="media/image6.emf"/><Relationship Id="rId39" Type="http://schemas.openxmlformats.org/officeDocument/2006/relationships/oleObject" Target="embeddings/Feuille_Microsoft_Excel_97-200314.xls"/><Relationship Id="rId34" Type="http://schemas.openxmlformats.org/officeDocument/2006/relationships/image" Target="media/image14.emf"/><Relationship Id="rId50" Type="http://schemas.openxmlformats.org/officeDocument/2006/relationships/image" Target="media/image23.emf"/><Relationship Id="rId55" Type="http://schemas.openxmlformats.org/officeDocument/2006/relationships/image" Target="media/image26.emf"/><Relationship Id="rId7" Type="http://schemas.openxmlformats.org/officeDocument/2006/relationships/image" Target="media/image1.png"/><Relationship Id="rId7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F44E-2E23-405B-B3E3-7CCF05EA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1828</Words>
  <Characters>10058</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FERRO</dc:creator>
  <cp:keywords/>
  <dc:description/>
  <cp:lastModifiedBy>Martin Strugarek</cp:lastModifiedBy>
  <cp:revision>2</cp:revision>
  <dcterms:created xsi:type="dcterms:W3CDTF">2023-03-27T15:34:00Z</dcterms:created>
  <dcterms:modified xsi:type="dcterms:W3CDTF">2023-03-27T15:34:00Z</dcterms:modified>
</cp:coreProperties>
</file>